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9978"/>
      </w:tblGrid>
      <w:tr>
        <w:tc>
          <w:tcPr>
            <w:tcW w:type="dxa" w:w="9978"/>
            <w:shd w:val="clear" w:color="auto" w:fill="03273F"/>
            <w:tcMar>
              <w:top w:w="500" w:type="dxa"/>
              <w:start w:w="400" w:type="dxa"/>
              <w:bottom w:w="560" w:type="dxa"/>
              <w:end w:w="400" w:type="dxa"/>
            </w:tcMar>
          </w:tcPr>
          <w:p>
            <w:pPr>
              <w:spacing w:before="0" w:after="200" w:line="240" w:lineRule="auto"/>
            </w:pPr>
            <w:r>
              <w:rPr>
                <w:rFonts w:ascii="Calibri" w:hAnsi="Calibri"/>
                <w:b/>
                <w:color w:val="E63946"/>
                <w:sz w:val="19"/>
              </w:rPr>
              <w:t>SMART URBAN SENSING  ·  PROCUREMENT RESOURCE</w:t>
            </w:r>
          </w:p>
          <w:p>
            <w:pPr>
              <w:spacing w:before="0" w:after="120" w:line="245" w:lineRule="auto"/>
            </w:pPr>
            <w:r>
              <w:rPr>
                <w:rFonts w:ascii="Calibri" w:hAnsi="Calibri"/>
                <w:b/>
                <w:color w:val="FFFFFF"/>
                <w:sz w:val="60"/>
              </w:rPr>
              <w:t>APC and Welfare Sensing DPIA Pack</w:t>
            </w:r>
          </w:p>
          <w:p>
            <w:pPr>
              <w:spacing w:before="120" w:after="280" w:line="300" w:lineRule="auto"/>
            </w:pPr>
            <w:r>
              <w:rPr>
                <w:rFonts w:ascii="Calibri" w:hAnsi="Calibri"/>
                <w:color w:val="C9D6E2"/>
                <w:sz w:val="26"/>
              </w:rPr>
              <w:t>A screening and assessment template for passenger counting and on-vehicle welfare sensing</w:t>
            </w:r>
          </w:p>
          <w:p>
            <w:pPr>
              <w:spacing w:before="0" w:after="40" w:line="264" w:lineRule="auto"/>
            </w:pPr>
            <w:r>
              <w:rPr>
                <w:rFonts w:ascii="Calibri" w:hAnsi="Calibri"/>
                <w:b/>
                <w:color w:val="FFFFFF"/>
                <w:sz w:val="22"/>
              </w:rPr>
              <w:t>Version 1.0 — September 2026</w:t>
            </w:r>
          </w:p>
          <w:p>
            <w:pPr>
              <w:spacing w:before="0" w:after="0" w:line="264" w:lineRule="auto"/>
            </w:pPr>
            <w:r>
              <w:rPr>
                <w:rFonts w:ascii="Calibri" w:hAnsi="Calibri"/>
                <w:color w:val="B8C7D6"/>
                <w:sz w:val="19"/>
              </w:rPr>
              <w:t>Prepared for completion by the controller</w:t>
            </w:r>
          </w:p>
        </w:tc>
      </w:tr>
    </w:tbl>
    <w:p>
      <w:pPr>
        <w:spacing w:before="0" w:after="160" w:line="240" w:lineRule="auto"/>
      </w:pPr>
    </w:p>
    <w:p>
      <w:pPr>
        <w:spacing w:before="0" w:after="20" w:line="264" w:lineRule="auto"/>
      </w:pPr>
      <w:r>
        <w:rPr>
          <w:rFonts w:ascii="Calibri" w:hAnsi="Calibri"/>
          <w:b/>
          <w:color w:val="03273F"/>
          <w:sz w:val="21"/>
        </w:rPr>
        <w:t>Smart Urban Sensing Limited</w:t>
      </w:r>
    </w:p>
    <w:p>
      <w:pPr>
        <w:spacing w:before="0" w:after="0" w:line="276" w:lineRule="auto"/>
      </w:pPr>
      <w:r>
        <w:rPr>
          <w:rFonts w:ascii="Calibri" w:hAnsi="Calibri"/>
          <w:b w:val="0"/>
          <w:i w:val="0"/>
          <w:color w:val="4B4F58"/>
          <w:sz w:val="19"/>
        </w:rPr>
        <w:t>Colony, 5 Piccadilly Place, Manchester M1 3BR</w:t>
      </w:r>
    </w:p>
    <w:p>
      <w:pPr>
        <w:spacing w:before="0" w:after="0" w:line="276" w:lineRule="auto"/>
      </w:pPr>
      <w:r>
        <w:rPr>
          <w:rFonts w:ascii="Calibri" w:hAnsi="Calibri"/>
          <w:b w:val="0"/>
          <w:i w:val="0"/>
          <w:color w:val="4B4F58"/>
          <w:sz w:val="19"/>
        </w:rPr>
        <w:t>sales@smarturbansensing.co.uk</w:t>
      </w:r>
    </w:p>
    <w:p>
      <w:pPr>
        <w:keepNext/>
        <w:spacing w:before="180" w:after="60" w:line="264" w:lineRule="auto"/>
      </w:pPr>
      <w:r>
        <w:rPr>
          <w:rFonts w:ascii="Calibri" w:hAnsi="Calibri"/>
          <w:b/>
          <w:i w:val="0"/>
          <w:color w:val="03273F"/>
          <w:sz w:val="24"/>
        </w:rPr>
        <w:t>What this pack contains</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4989"/>
        <w:gridCol w:w="4989"/>
      </w:tblGrid>
      <w:tr>
        <w:trPr>
          <w:tblHeader w:val="true"/>
        </w:trPr>
        <w:tc>
          <w:tcPr>
            <w:tcW w:type="dxa" w:w="4989"/>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Part one</w:t>
            </w:r>
          </w:p>
        </w:tc>
        <w:tc>
          <w:tcPr>
            <w:tcW w:type="dxa" w:w="4989"/>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Part two</w:t>
            </w:r>
          </w:p>
        </w:tc>
      </w:tr>
      <w:tr>
        <w:tc>
          <w:tcPr>
            <w:tcW w:type="dxa" w:w="4989"/>
            <w:tcMar>
              <w:top w:w="80" w:type="dxa"/>
              <w:start w:w="85" w:type="dxa"/>
              <w:bottom w:w="80" w:type="dxa"/>
              <w:end w:w="85" w:type="dxa"/>
            </w:tcMar>
          </w:tcPr>
          <w:p>
            <w:pPr>
              <w:spacing w:before="0" w:after="0" w:line="264" w:lineRule="auto"/>
            </w:pPr>
            <w:r>
              <w:rPr>
                <w:rFonts w:ascii="Calibri" w:hAnsi="Calibri"/>
                <w:b/>
                <w:i w:val="0"/>
                <w:color w:val="2C3338"/>
                <w:sz w:val="16"/>
              </w:rPr>
              <w:t>How to use the pack; controller and processor roles</w:t>
            </w:r>
          </w:p>
        </w:tc>
        <w:tc>
          <w:tcPr>
            <w:tcW w:type="dxa" w:w="4989"/>
            <w:tcMar>
              <w:top w:w="80" w:type="dxa"/>
              <w:start w:w="85" w:type="dxa"/>
              <w:bottom w:w="80" w:type="dxa"/>
              <w:end w:w="85" w:type="dxa"/>
            </w:tcMar>
          </w:tcPr>
          <w:p>
            <w:pPr>
              <w:spacing w:before="0" w:after="0" w:line="264" w:lineRule="auto"/>
            </w:pPr>
            <w:r>
              <w:rPr>
                <w:rFonts w:ascii="Calibri" w:hAnsi="Calibri"/>
                <w:b w:val="0"/>
                <w:i w:val="0"/>
                <w:color w:val="4B4F58"/>
                <w:sz w:val="16"/>
              </w:rPr>
              <w:t>Step 6 — Measures and controls</w:t>
            </w:r>
          </w:p>
        </w:tc>
      </w:tr>
      <w:tr>
        <w:tc>
          <w:tcPr>
            <w:tcW w:type="dxa" w:w="4989"/>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Step 1 — Screening</w:t>
            </w:r>
          </w:p>
        </w:tc>
        <w:tc>
          <w:tcPr>
            <w:tcW w:type="dxa" w:w="4989"/>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Step 7 — Transparency wording</w:t>
            </w:r>
          </w:p>
        </w:tc>
      </w:tr>
      <w:tr>
        <w:tc>
          <w:tcPr>
            <w:tcW w:type="dxa" w:w="4989"/>
            <w:tcMar>
              <w:top w:w="80" w:type="dxa"/>
              <w:start w:w="85" w:type="dxa"/>
              <w:bottom w:w="80" w:type="dxa"/>
              <w:end w:w="85" w:type="dxa"/>
            </w:tcMar>
          </w:tcPr>
          <w:p>
            <w:pPr>
              <w:spacing w:before="0" w:after="0" w:line="264" w:lineRule="auto"/>
            </w:pPr>
            <w:r>
              <w:rPr>
                <w:rFonts w:ascii="Calibri" w:hAnsi="Calibri"/>
                <w:b/>
                <w:i w:val="0"/>
                <w:color w:val="2C3338"/>
                <w:sz w:val="16"/>
              </w:rPr>
              <w:t>Step 2 — Describe the processing</w:t>
            </w:r>
          </w:p>
        </w:tc>
        <w:tc>
          <w:tcPr>
            <w:tcW w:type="dxa" w:w="4989"/>
            <w:tcMar>
              <w:top w:w="80" w:type="dxa"/>
              <w:start w:w="85" w:type="dxa"/>
              <w:bottom w:w="80" w:type="dxa"/>
              <w:end w:w="85" w:type="dxa"/>
            </w:tcMar>
          </w:tcPr>
          <w:p>
            <w:pPr>
              <w:spacing w:before="0" w:after="0" w:line="264" w:lineRule="auto"/>
            </w:pPr>
            <w:r>
              <w:rPr>
                <w:rFonts w:ascii="Calibri" w:hAnsi="Calibri"/>
                <w:b w:val="0"/>
                <w:i w:val="0"/>
                <w:color w:val="4B4F58"/>
                <w:sz w:val="16"/>
              </w:rPr>
              <w:t>Step 8 — Consultation and sign-off</w:t>
            </w:r>
          </w:p>
        </w:tc>
      </w:tr>
      <w:tr>
        <w:tc>
          <w:tcPr>
            <w:tcW w:type="dxa" w:w="4989"/>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Step 3 — Necessity and proportionality</w:t>
            </w:r>
          </w:p>
        </w:tc>
        <w:tc>
          <w:tcPr>
            <w:tcW w:type="dxa" w:w="4989"/>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Annex A — Supplier information request</w:t>
            </w:r>
          </w:p>
        </w:tc>
      </w:tr>
      <w:tr>
        <w:tc>
          <w:tcPr>
            <w:tcW w:type="dxa" w:w="4989"/>
            <w:tcMar>
              <w:top w:w="80" w:type="dxa"/>
              <w:start w:w="85" w:type="dxa"/>
              <w:bottom w:w="80" w:type="dxa"/>
              <w:end w:w="85" w:type="dxa"/>
            </w:tcMar>
          </w:tcPr>
          <w:p>
            <w:pPr>
              <w:spacing w:before="0" w:after="0" w:line="264" w:lineRule="auto"/>
            </w:pPr>
            <w:r>
              <w:rPr>
                <w:rFonts w:ascii="Calibri" w:hAnsi="Calibri"/>
                <w:b/>
                <w:i w:val="0"/>
                <w:color w:val="2C3338"/>
                <w:sz w:val="16"/>
              </w:rPr>
              <w:t>Step 4 — Lawful basis</w:t>
            </w:r>
          </w:p>
        </w:tc>
        <w:tc>
          <w:tcPr>
            <w:tcW w:type="dxa" w:w="4989"/>
            <w:tcMar>
              <w:top w:w="80" w:type="dxa"/>
              <w:start w:w="85" w:type="dxa"/>
              <w:bottom w:w="80" w:type="dxa"/>
              <w:end w:w="85" w:type="dxa"/>
            </w:tcMar>
          </w:tcPr>
          <w:p>
            <w:pPr>
              <w:spacing w:before="0" w:after="0" w:line="264" w:lineRule="auto"/>
            </w:pPr>
            <w:r>
              <w:rPr>
                <w:rFonts w:ascii="Calibri" w:hAnsi="Calibri"/>
                <w:b w:val="0"/>
                <w:i w:val="0"/>
                <w:color w:val="4B4F58"/>
                <w:sz w:val="16"/>
              </w:rPr>
              <w:t>Annex B — Retention schedule template</w:t>
            </w:r>
          </w:p>
        </w:tc>
      </w:tr>
      <w:tr>
        <w:tc>
          <w:tcPr>
            <w:tcW w:type="dxa" w:w="4989"/>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Step 5 — Risk register</w:t>
            </w:r>
          </w:p>
        </w:tc>
        <w:tc>
          <w:tcPr>
            <w:tcW w:type="dxa" w:w="4989"/>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Annex C — Sources</w:t>
            </w:r>
          </w:p>
        </w:tc>
      </w:tr>
    </w:tbl>
    <w:p>
      <w:pPr>
        <w:spacing w:before="0" w:after="100" w:line="240" w:lineRule="auto"/>
      </w:pPr>
    </w:p>
    <w:tbl>
      <w:tblPr>
        <w:tblW w:type="auto" w:w="0"/>
        <w:tblBorders>
          <w:top w:val="single" w:sz="6" w:space="0" w:color="DCE3EA"/>
          <w:left w:val="single" w:sz="6" w:space="0" w:color="DCE3EA"/>
          <w:bottom w:val="single" w:sz="6" w:space="0" w:color="DCE3EA"/>
          <w:right w:val="single" w:sz="6" w:space="0" w:color="DCE3EA"/>
        </w:tblBorders>
        <w:tblLayout w:type="fixed"/>
        <w:tblLook w:firstColumn="1" w:firstRow="1" w:lastColumn="0" w:lastRow="0" w:noHBand="0" w:noVBand="1" w:val="04A0"/>
      </w:tblPr>
      <w:tblGrid>
        <w:gridCol w:w="9978"/>
      </w:tblGrid>
      <w:tr>
        <w:tc>
          <w:tcPr>
            <w:tcW w:type="dxa" w:w="9978"/>
            <w:shd w:val="clear" w:color="auto" w:fill="F4F7FA"/>
            <w:tcMar>
              <w:top w:w="130" w:type="dxa"/>
              <w:start w:w="160" w:type="dxa"/>
              <w:bottom w:w="130" w:type="dxa"/>
              <w:end w:w="160" w:type="dxa"/>
            </w:tcMar>
          </w:tcPr>
          <w:p>
            <w:pPr>
              <w:spacing w:before="0" w:after="60" w:line="264" w:lineRule="auto"/>
            </w:pPr>
            <w:r>
              <w:rPr>
                <w:rFonts w:ascii="Calibri" w:hAnsi="Calibri"/>
                <w:b/>
                <w:i w:val="0"/>
                <w:color w:val="03273F"/>
                <w:sz w:val="20"/>
              </w:rPr>
              <w:t>Important — this is a template, not legal advice</w:t>
            </w:r>
          </w:p>
          <w:p>
            <w:pPr>
              <w:spacing w:before="0" w:after="60" w:line="283" w:lineRule="auto"/>
            </w:pPr>
            <w:r>
              <w:rPr>
                <w:rFonts w:ascii="Calibri" w:hAnsi="Calibri"/>
                <w:b w:val="0"/>
                <w:i w:val="0"/>
                <w:color w:val="2C3338"/>
                <w:sz w:val="18"/>
              </w:rPr>
              <w:t>This pack is provided to support the controller’s own Data Protection Impact Assessment. It is not legal advice and it is not a compliance certificate.</w:t>
            </w:r>
          </w:p>
          <w:p>
            <w:pPr>
              <w:spacing w:before="0" w:after="60" w:line="283" w:lineRule="auto"/>
            </w:pPr>
            <w:r>
              <w:rPr>
                <w:rFonts w:ascii="Calibri" w:hAnsi="Calibri"/>
                <w:b w:val="0"/>
                <w:i w:val="0"/>
                <w:color w:val="2C3338"/>
                <w:sz w:val="18"/>
              </w:rPr>
              <w:t>The operator or transport authority deploying the system is the controller. The controller determines the purposes and means of the processing, selects and justifies the lawful basis, decides retention, and owns the outcome of this assessment — including any decision that a DPIA is or is not required. Smart Urban Sensing can complete the supplier sections and provide evidence about its own system; it cannot reach those conclusions on your behalf.</w:t>
            </w:r>
          </w:p>
          <w:p>
            <w:pPr>
              <w:spacing w:before="0" w:after="60" w:line="283" w:lineRule="auto"/>
            </w:pPr>
            <w:r>
              <w:rPr>
                <w:rFonts w:ascii="Calibri" w:hAnsi="Calibri"/>
                <w:b w:val="0"/>
                <w:i w:val="0"/>
                <w:color w:val="2C3338"/>
                <w:sz w:val="18"/>
              </w:rPr>
              <w:t>Take advice from your Data Protection Officer or legal adviser before relying on any part of this document.</w:t>
            </w:r>
          </w:p>
        </w:tc>
      </w:tr>
    </w:tbl>
    <w:p>
      <w:pPr>
        <w:spacing w:before="0" w:after="80" w:line="240" w:lineRule="auto"/>
      </w:pPr>
    </w:p>
    <w:p>
      <w:pPr>
        <w:spacing w:before="0" w:after="0" w:line="240" w:lineRule="auto"/>
      </w:pPr>
      <w:r>
        <w:br w:type="page"/>
      </w:r>
    </w:p>
    <w:tbl>
      <w:tblPr>
        <w:tblW w:type="auto" w:w="0"/>
        <w:jc w:val="left"/>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9978"/>
      </w:tblGrid>
      <w:tr>
        <w:trPr>
          <w:cantSplit/>
        </w:trPr>
        <w:tc>
          <w:tcPr>
            <w:tcW w:type="dxa" w:w="9978"/>
            <w:shd w:val="clear" w:color="auto" w:fill="03273F"/>
            <w:tcMar>
              <w:top w:w="150" w:type="dxa"/>
              <w:start w:w="170" w:type="dxa"/>
              <w:bottom w:w="150" w:type="dxa"/>
              <w:end w:w="170" w:type="dxa"/>
            </w:tcMar>
          </w:tcPr>
          <w:p>
            <w:pPr>
              <w:keepNext/>
              <w:spacing w:before="0" w:after="0" w:line="264" w:lineRule="auto"/>
            </w:pPr>
            <w:r>
              <w:rPr>
                <w:rFonts w:ascii="Calibri" w:hAnsi="Calibri"/>
                <w:b/>
                <w:color w:val="FFFFFF"/>
                <w:sz w:val="30"/>
              </w:rPr>
              <w:t>How to use this pack, and who does what</w:t>
            </w:r>
          </w:p>
        </w:tc>
      </w:tr>
    </w:tbl>
    <w:p>
      <w:pPr>
        <w:keepNext/>
        <w:spacing w:before="0" w:after="60" w:line="240" w:lineRule="auto"/>
      </w:pPr>
    </w:p>
    <w:p>
      <w:pPr>
        <w:spacing w:before="0" w:after="100" w:line="283" w:lineRule="auto"/>
      </w:pPr>
      <w:r>
        <w:rPr>
          <w:rFonts w:ascii="Calibri" w:hAnsi="Calibri"/>
          <w:b w:val="0"/>
          <w:i w:val="0"/>
          <w:color w:val="4B4F58"/>
          <w:sz w:val="19"/>
        </w:rPr>
        <w:t>This pack is a working template. It is written so that a bus or shuttle operator, a local transport authority or a passenger transport executive can complete a Data Protection Impact Assessment for automatic passenger counting (APC) and, where selected, optional on-vehicle welfare sensing. The assessment logic is deliberately vendor-neutral: the screening questions, risk register and control tests apply to any APC supplier, including ours.</w:t>
      </w:r>
    </w:p>
    <w:p>
      <w:pPr>
        <w:spacing w:before="0" w:after="100" w:line="283" w:lineRule="auto"/>
      </w:pPr>
      <w:r>
        <w:rPr>
          <w:rFonts w:ascii="Calibri" w:hAnsi="Calibri"/>
          <w:b w:val="0"/>
          <w:i w:val="0"/>
          <w:color w:val="4B4F58"/>
          <w:sz w:val="19"/>
        </w:rPr>
        <w:t xml:space="preserve">Some sections are pre-populated with a description of a typical counting architecture so that you are not starting from a blank page. Check every pre-populated statement against your own deployment before adopting it. Where the text says </w:t>
      </w:r>
      <w:r>
        <w:rPr>
          <w:rFonts w:ascii="Calibri" w:hAnsi="Calibri"/>
          <w:b/>
          <w:i w:val="0"/>
          <w:color w:val="4B4F58"/>
          <w:sz w:val="19"/>
        </w:rPr>
        <w:t>verify</w:t>
      </w:r>
      <w:r>
        <w:rPr>
          <w:rFonts w:ascii="Calibri" w:hAnsi="Calibri"/>
          <w:b w:val="0"/>
          <w:i w:val="0"/>
          <w:color w:val="4B4F58"/>
          <w:sz w:val="19"/>
        </w:rPr>
        <w:t>, that is an instruction, not a decoration.</w:t>
      </w:r>
    </w:p>
    <w:p>
      <w:pPr>
        <w:keepNext/>
        <w:spacing w:before="180" w:after="60" w:line="264" w:lineRule="auto"/>
      </w:pPr>
      <w:r>
        <w:rPr>
          <w:rFonts w:ascii="Calibri" w:hAnsi="Calibri"/>
          <w:b/>
          <w:i w:val="0"/>
          <w:color w:val="03273F"/>
          <w:sz w:val="24"/>
        </w:rPr>
        <w:t>Working method</w:t>
      </w:r>
    </w:p>
    <w:p>
      <w:pPr>
        <w:spacing w:before="0" w:after="64" w:line="283" w:lineRule="auto"/>
        <w:ind w:left="369" w:hanging="227"/>
      </w:pPr>
      <w:r>
        <w:rPr>
          <w:rFonts w:ascii="Calibri" w:hAnsi="Calibri"/>
          <w:b/>
          <w:color w:val="19455E"/>
          <w:sz w:val="19"/>
        </w:rPr>
        <w:t xml:space="preserve">1.  </w:t>
      </w:r>
      <w:r>
        <w:rPr>
          <w:rFonts w:ascii="Calibri" w:hAnsi="Calibri"/>
          <w:b/>
          <w:i w:val="0"/>
          <w:color w:val="4B4F58"/>
          <w:sz w:val="19"/>
        </w:rPr>
        <w:t>Assemble the facts.</w:t>
      </w:r>
      <w:r>
        <w:rPr>
          <w:rFonts w:ascii="Calibri" w:hAnsi="Calibri"/>
          <w:b w:val="0"/>
          <w:i w:val="0"/>
          <w:color w:val="4B4F58"/>
          <w:sz w:val="19"/>
        </w:rPr>
        <w:t xml:space="preserve"> Send Annex A to your APC supplier and to any CCTV or telematics supplier whose data will be in scope. Do not begin the risk analysis until the data-flow answers are in writing.</w:t>
      </w:r>
    </w:p>
    <w:p>
      <w:pPr>
        <w:spacing w:before="0" w:after="64" w:line="283" w:lineRule="auto"/>
        <w:ind w:left="369" w:hanging="227"/>
      </w:pPr>
      <w:r>
        <w:rPr>
          <w:rFonts w:ascii="Calibri" w:hAnsi="Calibri"/>
          <w:b/>
          <w:color w:val="19455E"/>
          <w:sz w:val="19"/>
        </w:rPr>
        <w:t xml:space="preserve">2.  </w:t>
      </w:r>
      <w:r>
        <w:rPr>
          <w:rFonts w:ascii="Calibri" w:hAnsi="Calibri"/>
          <w:b/>
          <w:i w:val="0"/>
          <w:color w:val="4B4F58"/>
          <w:sz w:val="19"/>
        </w:rPr>
        <w:t>Complete Step 1 (screening) first.</w:t>
      </w:r>
      <w:r>
        <w:rPr>
          <w:rFonts w:ascii="Calibri" w:hAnsi="Calibri"/>
          <w:b w:val="0"/>
          <w:i w:val="0"/>
          <w:color w:val="4B4F58"/>
          <w:sz w:val="19"/>
        </w:rPr>
        <w:t xml:space="preserve"> The screening outcome decides whether you continue to a full DPIA or stop and record a screening decision. Record the decision either way.</w:t>
      </w:r>
    </w:p>
    <w:p>
      <w:pPr>
        <w:spacing w:before="0" w:after="64" w:line="283" w:lineRule="auto"/>
        <w:ind w:left="369" w:hanging="227"/>
      </w:pPr>
      <w:r>
        <w:rPr>
          <w:rFonts w:ascii="Calibri" w:hAnsi="Calibri"/>
          <w:b/>
          <w:color w:val="19455E"/>
          <w:sz w:val="19"/>
        </w:rPr>
        <w:t xml:space="preserve">3.  </w:t>
      </w:r>
      <w:r>
        <w:rPr>
          <w:rFonts w:ascii="Calibri" w:hAnsi="Calibri"/>
          <w:b/>
          <w:i w:val="0"/>
          <w:color w:val="4B4F58"/>
          <w:sz w:val="19"/>
        </w:rPr>
        <w:t>Work through Steps 2 to 6 in order.</w:t>
      </w:r>
      <w:r>
        <w:rPr>
          <w:rFonts w:ascii="Calibri" w:hAnsi="Calibri"/>
          <w:b w:val="0"/>
          <w:i w:val="0"/>
          <w:color w:val="4B4F58"/>
          <w:sz w:val="19"/>
        </w:rPr>
        <w:t xml:space="preserve"> Describe the processing before you judge necessity, and judge necessity before you write mitigations. Mitigations written before the description tend to describe the product rather than the risk.</w:t>
      </w:r>
    </w:p>
    <w:p>
      <w:pPr>
        <w:spacing w:before="0" w:after="64" w:line="283" w:lineRule="auto"/>
        <w:ind w:left="369" w:hanging="227"/>
      </w:pPr>
      <w:r>
        <w:rPr>
          <w:rFonts w:ascii="Calibri" w:hAnsi="Calibri"/>
          <w:b/>
          <w:color w:val="19455E"/>
          <w:sz w:val="19"/>
        </w:rPr>
        <w:t xml:space="preserve">4.  </w:t>
      </w:r>
      <w:r>
        <w:rPr>
          <w:rFonts w:ascii="Calibri" w:hAnsi="Calibri"/>
          <w:b/>
          <w:i w:val="0"/>
          <w:color w:val="4B4F58"/>
          <w:sz w:val="19"/>
        </w:rPr>
        <w:t>Consult.</w:t>
      </w:r>
      <w:r>
        <w:rPr>
          <w:rFonts w:ascii="Calibri" w:hAnsi="Calibri"/>
          <w:b w:val="0"/>
          <w:i w:val="0"/>
          <w:color w:val="4B4F58"/>
          <w:sz w:val="19"/>
        </w:rPr>
        <w:t xml:space="preserve"> Involve your Data Protection Officer, operations and safety leads, and — where welfare monitoring could observe staff — trade union or staff representatives.</w:t>
      </w:r>
    </w:p>
    <w:p>
      <w:pPr>
        <w:spacing w:before="0" w:after="64" w:line="283" w:lineRule="auto"/>
        <w:ind w:left="369" w:hanging="227"/>
      </w:pPr>
      <w:r>
        <w:rPr>
          <w:rFonts w:ascii="Calibri" w:hAnsi="Calibri"/>
          <w:b/>
          <w:color w:val="19455E"/>
          <w:sz w:val="19"/>
        </w:rPr>
        <w:t xml:space="preserve">5.  </w:t>
      </w:r>
      <w:r>
        <w:rPr>
          <w:rFonts w:ascii="Calibri" w:hAnsi="Calibri"/>
          <w:b/>
          <w:i w:val="0"/>
          <w:color w:val="4B4F58"/>
          <w:sz w:val="19"/>
        </w:rPr>
        <w:t>Sign off and diarise review.</w:t>
      </w:r>
      <w:r>
        <w:rPr>
          <w:rFonts w:ascii="Calibri" w:hAnsi="Calibri"/>
          <w:b w:val="0"/>
          <w:i w:val="0"/>
          <w:color w:val="4B4F58"/>
          <w:sz w:val="19"/>
        </w:rPr>
        <w:t xml:space="preserve"> Use Step 8. A DPIA that is never revisited stops describing the system that is actually running.</w:t>
      </w:r>
    </w:p>
    <w:p>
      <w:pPr>
        <w:keepNext/>
        <w:spacing w:before="180" w:after="60" w:line="264" w:lineRule="auto"/>
      </w:pPr>
      <w:r>
        <w:rPr>
          <w:rFonts w:ascii="Calibri" w:hAnsi="Calibri"/>
          <w:b/>
          <w:i w:val="0"/>
          <w:color w:val="03273F"/>
          <w:sz w:val="24"/>
        </w:rPr>
        <w:t>Controller and processor roles</w:t>
      </w:r>
    </w:p>
    <w:p>
      <w:pPr>
        <w:spacing w:before="0" w:after="100" w:line="283" w:lineRule="auto"/>
      </w:pPr>
      <w:r>
        <w:rPr>
          <w:rFonts w:ascii="Calibri" w:hAnsi="Calibri"/>
          <w:b w:val="0"/>
          <w:i w:val="0"/>
          <w:color w:val="4B4F58"/>
          <w:sz w:val="19"/>
        </w:rPr>
        <w:t>Getting the roles right at the start changes who must do what for the rest of the assessment. The table below is a starting position for a typical deployment; complete the right-hand column for your own contract and have it confirmed by your DPO and your legal or commercial team.</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1996"/>
        <w:gridCol w:w="1596"/>
        <w:gridCol w:w="3393"/>
        <w:gridCol w:w="2993"/>
      </w:tblGrid>
      <w:tr>
        <w:trPr>
          <w:tblHeader w:val="true"/>
        </w:trPr>
        <w:tc>
          <w:tcPr>
            <w:tcW w:type="dxa" w:w="1996"/>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Party</w:t>
            </w:r>
          </w:p>
        </w:tc>
        <w:tc>
          <w:tcPr>
            <w:tcW w:type="dxa" w:w="1596"/>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Likely role</w:t>
            </w:r>
          </w:p>
        </w:tc>
        <w:tc>
          <w:tcPr>
            <w:tcW w:type="dxa" w:w="33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Typical responsibilities</w:t>
            </w:r>
          </w:p>
        </w:tc>
        <w:tc>
          <w:tcPr>
            <w:tcW w:type="dxa" w:w="29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Confirmed role in this deployment</w:t>
            </w:r>
          </w:p>
        </w:tc>
      </w:tr>
      <w:tr>
        <w:tc>
          <w:tcPr>
            <w:tcW w:type="dxa" w:w="1996"/>
            <w:tcMar>
              <w:top w:w="80" w:type="dxa"/>
              <w:start w:w="85" w:type="dxa"/>
              <w:bottom w:w="80" w:type="dxa"/>
              <w:end w:w="85" w:type="dxa"/>
            </w:tcMar>
          </w:tcPr>
          <w:p>
            <w:pPr>
              <w:spacing w:before="0" w:after="0" w:line="264" w:lineRule="auto"/>
            </w:pPr>
            <w:r>
              <w:rPr>
                <w:rFonts w:ascii="Calibri" w:hAnsi="Calibri"/>
                <w:b/>
                <w:i w:val="0"/>
                <w:color w:val="2C3338"/>
                <w:sz w:val="16"/>
              </w:rPr>
              <w:t>Operator or transport authority</w:t>
            </w:r>
          </w:p>
        </w:tc>
        <w:tc>
          <w:tcPr>
            <w:tcW w:type="dxa" w:w="1596"/>
            <w:tcMar>
              <w:top w:w="80" w:type="dxa"/>
              <w:start w:w="85" w:type="dxa"/>
              <w:bottom w:w="80" w:type="dxa"/>
              <w:end w:w="85" w:type="dxa"/>
            </w:tcMar>
          </w:tcPr>
          <w:p>
            <w:pPr>
              <w:spacing w:before="0" w:after="0" w:line="264" w:lineRule="auto"/>
            </w:pPr>
            <w:r>
              <w:rPr>
                <w:rFonts w:ascii="Calibri" w:hAnsi="Calibri"/>
                <w:b w:val="0"/>
                <w:i w:val="0"/>
                <w:color w:val="4B4F58"/>
                <w:sz w:val="16"/>
              </w:rPr>
              <w:t>Controller</w:t>
            </w:r>
          </w:p>
        </w:tc>
        <w:tc>
          <w:tcPr>
            <w:tcW w:type="dxa" w:w="3393"/>
            <w:tcMar>
              <w:top w:w="80" w:type="dxa"/>
              <w:start w:w="85" w:type="dxa"/>
              <w:bottom w:w="80" w:type="dxa"/>
              <w:end w:w="85" w:type="dxa"/>
            </w:tcMar>
          </w:tcPr>
          <w:p>
            <w:pPr>
              <w:spacing w:before="0" w:after="0" w:line="264" w:lineRule="auto"/>
            </w:pPr>
            <w:r>
              <w:rPr>
                <w:rFonts w:ascii="Calibri" w:hAnsi="Calibri"/>
                <w:b w:val="0"/>
                <w:i w:val="0"/>
                <w:color w:val="4B4F58"/>
                <w:sz w:val="16"/>
              </w:rPr>
              <w:t>Determines purposes and means; owns the DPIA, lawful basis, retention decision, transparency and rights handling; decides whether welfare sensing is deployed.</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APC supplier</w:t>
            </w:r>
          </w:p>
        </w:tc>
        <w:tc>
          <w:tcPr>
            <w:tcW w:type="dxa" w:w="159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Processor</w:t>
            </w:r>
          </w:p>
        </w:tc>
        <w:tc>
          <w:tcPr>
            <w:tcW w:type="dxa" w:w="3393"/>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Supplies sensors, gateway, ingest, storage and dashboard; acts on documented instructions; provides data-flow, retention, security and deletion evidence.</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1996"/>
            <w:tcMar>
              <w:top w:w="80" w:type="dxa"/>
              <w:start w:w="85" w:type="dxa"/>
              <w:bottom w:w="80" w:type="dxa"/>
              <w:end w:w="85" w:type="dxa"/>
            </w:tcMar>
          </w:tcPr>
          <w:p>
            <w:pPr>
              <w:spacing w:before="0" w:after="0" w:line="264" w:lineRule="auto"/>
            </w:pPr>
            <w:r>
              <w:rPr>
                <w:rFonts w:ascii="Calibri" w:hAnsi="Calibri"/>
                <w:b/>
                <w:i w:val="0"/>
                <w:color w:val="2C3338"/>
                <w:sz w:val="16"/>
              </w:rPr>
              <w:t>Hosting and broker providers</w:t>
            </w:r>
          </w:p>
        </w:tc>
        <w:tc>
          <w:tcPr>
            <w:tcW w:type="dxa" w:w="1596"/>
            <w:tcMar>
              <w:top w:w="80" w:type="dxa"/>
              <w:start w:w="85" w:type="dxa"/>
              <w:bottom w:w="80" w:type="dxa"/>
              <w:end w:w="85" w:type="dxa"/>
            </w:tcMar>
          </w:tcPr>
          <w:p>
            <w:pPr>
              <w:spacing w:before="0" w:after="0" w:line="264" w:lineRule="auto"/>
            </w:pPr>
            <w:r>
              <w:rPr>
                <w:rFonts w:ascii="Calibri" w:hAnsi="Calibri"/>
                <w:b w:val="0"/>
                <w:i w:val="0"/>
                <w:color w:val="4B4F58"/>
                <w:sz w:val="16"/>
              </w:rPr>
              <w:t>Sub-processor</w:t>
            </w:r>
          </w:p>
        </w:tc>
        <w:tc>
          <w:tcPr>
            <w:tcW w:type="dxa" w:w="3393"/>
            <w:tcMar>
              <w:top w:w="80" w:type="dxa"/>
              <w:start w:w="85" w:type="dxa"/>
              <w:bottom w:w="80" w:type="dxa"/>
              <w:end w:w="85" w:type="dxa"/>
            </w:tcMar>
          </w:tcPr>
          <w:p>
            <w:pPr>
              <w:spacing w:before="0" w:after="0" w:line="264" w:lineRule="auto"/>
            </w:pPr>
            <w:r>
              <w:rPr>
                <w:rFonts w:ascii="Calibri" w:hAnsi="Calibri"/>
                <w:b w:val="0"/>
                <w:i w:val="0"/>
                <w:color w:val="4B4F58"/>
                <w:sz w:val="16"/>
              </w:rPr>
              <w:t>Managed message broker and cloud platform; hosting location, availability and access controls must be disclosed in the sub-processor register.</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CCTV or telematics supplier</w:t>
            </w:r>
          </w:p>
        </w:tc>
        <w:tc>
          <w:tcPr>
            <w:tcW w:type="dxa" w:w="159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Processor (separate)</w:t>
            </w:r>
          </w:p>
        </w:tc>
        <w:tc>
          <w:tcPr>
            <w:tcW w:type="dxa" w:w="3393"/>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Where existing on-board CCTV or telematics is brought into scope, its own contract, retention and access rules must be assessed alongside the APC system.</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1996"/>
            <w:tcMar>
              <w:top w:w="80" w:type="dxa"/>
              <w:start w:w="85" w:type="dxa"/>
              <w:bottom w:w="80" w:type="dxa"/>
              <w:end w:w="85" w:type="dxa"/>
            </w:tcMar>
          </w:tcPr>
          <w:p>
            <w:pPr>
              <w:spacing w:before="0" w:after="0" w:line="264" w:lineRule="auto"/>
            </w:pPr>
            <w:r>
              <w:rPr>
                <w:rFonts w:ascii="Calibri" w:hAnsi="Calibri"/>
                <w:b/>
                <w:i w:val="0"/>
                <w:color w:val="2C3338"/>
                <w:sz w:val="16"/>
              </w:rPr>
              <w:t>Client authority commissioning a service</w:t>
            </w:r>
          </w:p>
        </w:tc>
        <w:tc>
          <w:tcPr>
            <w:tcW w:type="dxa" w:w="1596"/>
            <w:tcMar>
              <w:top w:w="80" w:type="dxa"/>
              <w:start w:w="85" w:type="dxa"/>
              <w:bottom w:w="80" w:type="dxa"/>
              <w:end w:w="85" w:type="dxa"/>
            </w:tcMar>
          </w:tcPr>
          <w:p>
            <w:pPr>
              <w:spacing w:before="0" w:after="0" w:line="264" w:lineRule="auto"/>
            </w:pPr>
            <w:r>
              <w:rPr>
                <w:rFonts w:ascii="Calibri" w:hAnsi="Calibri"/>
                <w:b w:val="0"/>
                <w:i w:val="0"/>
                <w:color w:val="4B4F58"/>
                <w:sz w:val="16"/>
              </w:rPr>
              <w:t>Controller or joint controller</w:t>
            </w:r>
          </w:p>
        </w:tc>
        <w:tc>
          <w:tcPr>
            <w:tcW w:type="dxa" w:w="3393"/>
            <w:tcMar>
              <w:top w:w="80" w:type="dxa"/>
              <w:start w:w="85" w:type="dxa"/>
              <w:bottom w:w="80" w:type="dxa"/>
              <w:end w:w="85" w:type="dxa"/>
            </w:tcMar>
          </w:tcPr>
          <w:p>
            <w:pPr>
              <w:spacing w:before="0" w:after="0" w:line="264" w:lineRule="auto"/>
            </w:pPr>
            <w:r>
              <w:rPr>
                <w:rFonts w:ascii="Calibri" w:hAnsi="Calibri"/>
                <w:b w:val="0"/>
                <w:i w:val="0"/>
                <w:color w:val="4B4F58"/>
                <w:sz w:val="16"/>
              </w:rPr>
              <w:t>Where an authority specifies the counting purpose and receives the outputs, its role must be settled in writing rather than assumed.</w:t>
            </w:r>
          </w:p>
        </w:tc>
        <w:tc>
          <w:tcPr>
            <w:tcW w:type="dxa" w:w="2993"/>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tbl>
      <w:tblPr>
        <w:tblW w:type="auto" w:w="0"/>
        <w:tblBorders>
          <w:top w:val="single" w:sz="6" w:space="0" w:color="DCE3EA"/>
          <w:left w:val="single" w:sz="6" w:space="0" w:color="DCE3EA"/>
          <w:bottom w:val="single" w:sz="6" w:space="0" w:color="DCE3EA"/>
          <w:right w:val="single" w:sz="6" w:space="0" w:color="DCE3EA"/>
        </w:tblBorders>
        <w:tblLayout w:type="fixed"/>
        <w:tblLook w:firstColumn="1" w:firstRow="1" w:lastColumn="0" w:lastRow="0" w:noHBand="0" w:noVBand="1" w:val="04A0"/>
      </w:tblPr>
      <w:tblGrid>
        <w:gridCol w:w="9978"/>
      </w:tblGrid>
      <w:tr>
        <w:tc>
          <w:tcPr>
            <w:tcW w:type="dxa" w:w="9978"/>
            <w:shd w:val="clear" w:color="auto" w:fill="F4F7FA"/>
            <w:tcMar>
              <w:top w:w="130" w:type="dxa"/>
              <w:start w:w="160" w:type="dxa"/>
              <w:bottom w:w="130" w:type="dxa"/>
              <w:end w:w="160" w:type="dxa"/>
            </w:tcMar>
          </w:tcPr>
          <w:p>
            <w:pPr>
              <w:spacing w:before="0" w:after="60" w:line="264" w:lineRule="auto"/>
            </w:pPr>
            <w:r>
              <w:rPr>
                <w:rFonts w:ascii="Calibri" w:hAnsi="Calibri"/>
                <w:b/>
                <w:i w:val="0"/>
                <w:color w:val="03273F"/>
                <w:sz w:val="20"/>
              </w:rPr>
              <w:t>The controller owns the outcome</w:t>
            </w:r>
          </w:p>
          <w:p>
            <w:pPr>
              <w:spacing w:before="0" w:after="60" w:line="283" w:lineRule="auto"/>
            </w:pPr>
            <w:r>
              <w:rPr>
                <w:rFonts w:ascii="Calibri" w:hAnsi="Calibri"/>
                <w:b w:val="0"/>
                <w:i w:val="0"/>
                <w:color w:val="2C3338"/>
                <w:sz w:val="18"/>
              </w:rPr>
              <w:t>This pack supports your assessment; it does not replace it. Smart Urban Sensing can complete the supplier sections and evidence its own controls, but it cannot conclude on your behalf that a DPIA is unnecessary, that a lawful basis is made out, or that residual risk is acceptable. Those are controller decisions. Nothing here is legal advice; take advice from your DPO or legal adviser on anything you are unsure about.</w:t>
            </w:r>
          </w:p>
        </w:tc>
      </w:tr>
    </w:tbl>
    <w:p>
      <w:pPr>
        <w:spacing w:before="0" w:after="80" w:line="240" w:lineRule="auto"/>
      </w:pPr>
    </w:p>
    <w:p>
      <w:pPr>
        <w:keepNext/>
        <w:spacing w:before="180" w:after="60" w:line="264" w:lineRule="auto"/>
      </w:pPr>
      <w:r>
        <w:rPr>
          <w:rFonts w:ascii="Calibri" w:hAnsi="Calibri"/>
          <w:b/>
          <w:i w:val="0"/>
          <w:color w:val="03273F"/>
          <w:sz w:val="24"/>
        </w:rPr>
        <w:t>Where the Data Protection Officer comes in</w:t>
      </w:r>
    </w:p>
    <w:p>
      <w:pPr>
        <w:spacing w:before="0" w:after="100" w:line="283" w:lineRule="auto"/>
      </w:pPr>
      <w:r>
        <w:rPr>
          <w:rFonts w:ascii="Calibri" w:hAnsi="Calibri"/>
          <w:b w:val="0"/>
          <w:i w:val="0"/>
          <w:color w:val="4B4F58"/>
          <w:sz w:val="19"/>
        </w:rPr>
        <w:t>Where you have a DPO, seek their advice on the DPIA and record what they said and what you did about it — including where you departed from their advice and why. The ICO also treats a DPIA as good practice for any major project involving personal data, not only for processing that clears the high-risk threshold (</w:t>
      </w:r>
      <w:hyperlink r:id="rId10">
        <w:r>
          <w:rPr>
            <w:rFonts w:ascii="Calibri" w:hAnsi="Calibri"/>
            <w:color w:val="19455E"/>
            <w:u w:val="single"/>
            <w:sz w:val="19"/>
          </w:rPr>
          <w:t xml:space="preserve">ICO: how do we do a DPIA</w:t>
        </w:r>
      </w:hyperlink>
      <w:r>
        <w:rPr>
          <w:rFonts w:ascii="Calibri" w:hAnsi="Calibri"/>
          <w:b w:val="0"/>
          <w:i w:val="0"/>
          <w:color w:val="4B4F58"/>
          <w:sz w:val="19"/>
        </w:rPr>
        <w:t>).</w:t>
      </w:r>
    </w:p>
    <w:p>
      <w:pPr>
        <w:keepNext/>
        <w:spacing w:before="180" w:after="60" w:line="264" w:lineRule="auto"/>
      </w:pPr>
      <w:r>
        <w:rPr>
          <w:rFonts w:ascii="Calibri" w:hAnsi="Calibri"/>
          <w:b/>
          <w:i w:val="0"/>
          <w:color w:val="03273F"/>
          <w:sz w:val="24"/>
        </w:rPr>
        <w:t>Documenting a decision that no DPIA is needed</w:t>
      </w:r>
    </w:p>
    <w:p>
      <w:pPr>
        <w:spacing w:before="0" w:after="100" w:line="283" w:lineRule="auto"/>
      </w:pPr>
      <w:r>
        <w:rPr>
          <w:rFonts w:ascii="Calibri" w:hAnsi="Calibri"/>
          <w:b w:val="0"/>
          <w:i w:val="0"/>
          <w:color w:val="4B4F58"/>
          <w:sz w:val="19"/>
        </w:rPr>
        <w:t>If screening indicates that a DPIA is not required, that conclusion is itself a record you must be able to produce. The ICO expects the screening decision and the reasons for it to be documented (</w:t>
      </w:r>
      <w:hyperlink r:id="rId11">
        <w:r>
          <w:rPr>
            <w:rFonts w:ascii="Calibri" w:hAnsi="Calibri"/>
            <w:color w:val="19455E"/>
            <w:u w:val="single"/>
            <w:sz w:val="19"/>
          </w:rPr>
          <w:t xml:space="preserve">ICO: when do we need to do a DPIA</w:t>
        </w:r>
      </w:hyperlink>
      <w:r>
        <w:rPr>
          <w:rFonts w:ascii="Calibri" w:hAnsi="Calibri"/>
          <w:b w:val="0"/>
          <w:i w:val="0"/>
          <w:color w:val="4B4F58"/>
          <w:sz w:val="19"/>
        </w:rPr>
        <w:t>). Use the screening decision box at the end of Step 1 for that purpose. Do not treat a negative screening outcome as a general finding: it applies to the configuration you screened, on the date you screened it.</w:t>
      </w:r>
    </w:p>
    <w:tbl>
      <w:tblPr>
        <w:tblW w:type="auto" w:w="0"/>
        <w:jc w:val="left"/>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9978"/>
      </w:tblGrid>
      <w:tr>
        <w:trPr>
          <w:cantSplit/>
        </w:trPr>
        <w:tc>
          <w:tcPr>
            <w:tcW w:type="dxa" w:w="9978"/>
            <w:shd w:val="clear" w:color="auto" w:fill="03273F"/>
            <w:tcMar>
              <w:top w:w="150" w:type="dxa"/>
              <w:start w:w="170" w:type="dxa"/>
              <w:bottom w:w="150" w:type="dxa"/>
              <w:end w:w="170" w:type="dxa"/>
            </w:tcMar>
          </w:tcPr>
          <w:p>
            <w:pPr>
              <w:keepNext/>
              <w:spacing w:before="0" w:after="0" w:line="264" w:lineRule="auto"/>
            </w:pPr>
            <w:r>
              <w:rPr>
                <w:rFonts w:ascii="Calibri" w:hAnsi="Calibri"/>
                <w:b/>
                <w:color w:val="FFFFFF"/>
                <w:sz w:val="30"/>
              </w:rPr>
              <w:t>Step 1 — Screening</w:t>
            </w:r>
          </w:p>
        </w:tc>
      </w:tr>
    </w:tbl>
    <w:p>
      <w:pPr>
        <w:keepNext/>
        <w:spacing w:before="0" w:after="60" w:line="240" w:lineRule="auto"/>
      </w:pPr>
    </w:p>
    <w:p>
      <w:pPr>
        <w:spacing w:before="0" w:after="100" w:line="283" w:lineRule="auto"/>
      </w:pPr>
      <w:r>
        <w:rPr>
          <w:rFonts w:ascii="Calibri" w:hAnsi="Calibri"/>
          <w:b w:val="0"/>
          <w:i w:val="0"/>
          <w:color w:val="4B4F58"/>
          <w:sz w:val="19"/>
        </w:rPr>
        <w:t xml:space="preserve">Screening establishes whether the proposed processing is likely to result in a high risk to individuals, in which case a DPIA must be carried out </w:t>
      </w:r>
      <w:r>
        <w:rPr>
          <w:rFonts w:ascii="Calibri" w:hAnsi="Calibri"/>
          <w:b/>
          <w:i w:val="0"/>
          <w:color w:val="4B4F58"/>
          <w:sz w:val="19"/>
        </w:rPr>
        <w:t>before</w:t>
      </w:r>
      <w:r>
        <w:rPr>
          <w:rFonts w:ascii="Calibri" w:hAnsi="Calibri"/>
          <w:b w:val="0"/>
          <w:i w:val="0"/>
          <w:color w:val="4B4F58"/>
          <w:sz w:val="19"/>
        </w:rPr>
        <w:t xml:space="preserve"> processing begins (</w:t>
      </w:r>
      <w:hyperlink r:id="rId12">
        <w:r>
          <w:rPr>
            <w:rFonts w:ascii="Calibri" w:hAnsi="Calibri"/>
            <w:color w:val="19455E"/>
            <w:u w:val="single"/>
            <w:sz w:val="19"/>
          </w:rPr>
          <w:t xml:space="preserve">UK GDPR Article 35</w:t>
        </w:r>
      </w:hyperlink>
      <w:r>
        <w:rPr>
          <w:rFonts w:ascii="Calibri" w:hAnsi="Calibri"/>
          <w:b w:val="0"/>
          <w:i w:val="0"/>
          <w:color w:val="4B4F58"/>
          <w:sz w:val="19"/>
        </w:rPr>
        <w:t>). Answer every row. A single "Yes" in the statutory trigger block is enough to require a full DPIA.</w:t>
      </w:r>
    </w:p>
    <w:p>
      <w:pPr>
        <w:keepNext/>
        <w:spacing w:before="180" w:after="60" w:line="264" w:lineRule="auto"/>
      </w:pPr>
      <w:r>
        <w:rPr>
          <w:rFonts w:ascii="Calibri" w:hAnsi="Calibri"/>
          <w:b/>
          <w:i w:val="0"/>
          <w:color w:val="03273F"/>
          <w:sz w:val="24"/>
        </w:rPr>
        <w:t>1.1 Statutory triggers — UK GDPR Article 35(3)</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4989"/>
        <w:gridCol w:w="998"/>
        <w:gridCol w:w="998"/>
        <w:gridCol w:w="2993"/>
      </w:tblGrid>
      <w:tr>
        <w:trPr>
          <w:tblHeader w:val="true"/>
        </w:trPr>
        <w:tc>
          <w:tcPr>
            <w:tcW w:type="dxa" w:w="4989"/>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Trigger</w:t>
            </w:r>
          </w:p>
        </w:tc>
        <w:tc>
          <w:tcPr>
            <w:tcW w:type="dxa" w:w="998"/>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Yes</w:t>
            </w:r>
          </w:p>
        </w:tc>
        <w:tc>
          <w:tcPr>
            <w:tcW w:type="dxa" w:w="998"/>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No</w:t>
            </w:r>
          </w:p>
        </w:tc>
        <w:tc>
          <w:tcPr>
            <w:tcW w:type="dxa" w:w="29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Evidence or reasoning</w:t>
            </w:r>
          </w:p>
        </w:tc>
      </w:tr>
      <w:tr>
        <w:tc>
          <w:tcPr>
            <w:tcW w:type="dxa" w:w="4989"/>
            <w:tcMar>
              <w:top w:w="80" w:type="dxa"/>
              <w:start w:w="85" w:type="dxa"/>
              <w:bottom w:w="80" w:type="dxa"/>
              <w:end w:w="85" w:type="dxa"/>
            </w:tcMar>
          </w:tcPr>
          <w:p>
            <w:pPr>
              <w:spacing w:before="0" w:after="0" w:line="264" w:lineRule="auto"/>
            </w:pPr>
            <w:r>
              <w:rPr>
                <w:rFonts w:ascii="Calibri" w:hAnsi="Calibri"/>
                <w:b/>
                <w:i w:val="0"/>
                <w:color w:val="2C3338"/>
                <w:sz w:val="16"/>
              </w:rPr>
              <w:t>Systematic monitoring of a publicly accessible area on a large scale — for example vehicle-mounted cameras observing passengers across a fleet or a route network.</w:t>
            </w:r>
          </w:p>
        </w:tc>
        <w:tc>
          <w:tcPr>
            <w:tcW w:type="dxa" w:w="998"/>
            <w:shd w:val="clear" w:color="auto" w:fill="F2F6FA"/>
            <w:tcMar>
              <w:top w:w="80" w:type="dxa"/>
              <w:start w:w="85" w:type="dxa"/>
              <w:bottom w:w="80" w:type="dxa"/>
              <w:end w:w="85" w:type="dxa"/>
            </w:tcMar>
          </w:tcPr>
          <w:p>
            <w:pPr>
              <w:spacing w:before="0" w:after="0" w:line="264" w:lineRule="auto"/>
            </w:pPr>
          </w:p>
        </w:tc>
        <w:tc>
          <w:tcPr>
            <w:tcW w:type="dxa" w:w="998"/>
            <w:shd w:val="clear" w:color="auto" w:fill="F2F6FA"/>
            <w:tcMar>
              <w:top w:w="80" w:type="dxa"/>
              <w:start w:w="85" w:type="dxa"/>
              <w:bottom w:w="80" w:type="dxa"/>
              <w:end w:w="85" w:type="dxa"/>
            </w:tcMar>
          </w:tcPr>
          <w:p>
            <w:pPr>
              <w:spacing w:before="0" w:after="0" w:line="264" w:lineRule="auto"/>
            </w:pP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4989"/>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Processing of special category data, or personal data relating to criminal convictions and offences, on a large scale — including biometric data used to identify individuals uniquely.</w:t>
            </w:r>
          </w:p>
        </w:tc>
        <w:tc>
          <w:tcPr>
            <w:tcW w:type="dxa" w:w="998"/>
            <w:shd w:val="clear" w:color="auto" w:fill="F2F6FA"/>
            <w:tcMar>
              <w:top w:w="80" w:type="dxa"/>
              <w:start w:w="85" w:type="dxa"/>
              <w:bottom w:w="80" w:type="dxa"/>
              <w:end w:w="85" w:type="dxa"/>
            </w:tcMar>
          </w:tcPr>
          <w:p>
            <w:pPr>
              <w:spacing w:before="0" w:after="0" w:line="264" w:lineRule="auto"/>
            </w:pPr>
          </w:p>
        </w:tc>
        <w:tc>
          <w:tcPr>
            <w:tcW w:type="dxa" w:w="998"/>
            <w:shd w:val="clear" w:color="auto" w:fill="F2F6FA"/>
            <w:tcMar>
              <w:top w:w="80" w:type="dxa"/>
              <w:start w:w="85" w:type="dxa"/>
              <w:bottom w:w="80" w:type="dxa"/>
              <w:end w:w="85" w:type="dxa"/>
            </w:tcMar>
          </w:tcPr>
          <w:p>
            <w:pPr>
              <w:spacing w:before="0" w:after="0" w:line="264" w:lineRule="auto"/>
            </w:pP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4989"/>
            <w:tcMar>
              <w:top w:w="80" w:type="dxa"/>
              <w:start w:w="85" w:type="dxa"/>
              <w:bottom w:w="80" w:type="dxa"/>
              <w:end w:w="85" w:type="dxa"/>
            </w:tcMar>
          </w:tcPr>
          <w:p>
            <w:pPr>
              <w:spacing w:before="0" w:after="0" w:line="264" w:lineRule="auto"/>
            </w:pPr>
            <w:r>
              <w:rPr>
                <w:rFonts w:ascii="Calibri" w:hAnsi="Calibri"/>
                <w:b/>
                <w:i w:val="0"/>
                <w:color w:val="2C3338"/>
                <w:sz w:val="16"/>
              </w:rPr>
              <w:t>Systematic and extensive automated evaluation or profiling of individuals on which decisions with significant effects are based.</w:t>
            </w:r>
          </w:p>
        </w:tc>
        <w:tc>
          <w:tcPr>
            <w:tcW w:type="dxa" w:w="998"/>
            <w:shd w:val="clear" w:color="auto" w:fill="F2F6FA"/>
            <w:tcMar>
              <w:top w:w="80" w:type="dxa"/>
              <w:start w:w="85" w:type="dxa"/>
              <w:bottom w:w="80" w:type="dxa"/>
              <w:end w:w="85" w:type="dxa"/>
            </w:tcMar>
          </w:tcPr>
          <w:p>
            <w:pPr>
              <w:spacing w:before="0" w:after="0" w:line="264" w:lineRule="auto"/>
            </w:pPr>
          </w:p>
        </w:tc>
        <w:tc>
          <w:tcPr>
            <w:tcW w:type="dxa" w:w="998"/>
            <w:shd w:val="clear" w:color="auto" w:fill="F2F6FA"/>
            <w:tcMar>
              <w:top w:w="80" w:type="dxa"/>
              <w:start w:w="85" w:type="dxa"/>
              <w:bottom w:w="80" w:type="dxa"/>
              <w:end w:w="85" w:type="dxa"/>
            </w:tcMar>
          </w:tcPr>
          <w:p>
            <w:pPr>
              <w:spacing w:before="0" w:after="0" w:line="264" w:lineRule="auto"/>
            </w:pPr>
          </w:p>
        </w:tc>
        <w:tc>
          <w:tcPr>
            <w:tcW w:type="dxa" w:w="2993"/>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p>
      <w:pPr>
        <w:spacing w:before="0" w:after="100" w:line="283" w:lineRule="auto"/>
      </w:pPr>
      <w:r>
        <w:rPr>
          <w:rFonts w:ascii="Calibri" w:hAnsi="Calibri"/>
          <w:b w:val="0"/>
          <w:i w:val="0"/>
          <w:color w:val="4B4F58"/>
          <w:sz w:val="19"/>
        </w:rPr>
        <w:t>Article 35(3) is a floor, not a ceiling. ICO screening criteria also cover matters such as innovative technology, tracking of location or behaviour, processing affecting vulnerable people and combining data sets — all of which can be engaged by on-vehicle sensing (</w:t>
      </w:r>
      <w:hyperlink r:id="rId11">
        <w:r>
          <w:rPr>
            <w:rFonts w:ascii="Calibri" w:hAnsi="Calibri"/>
            <w:color w:val="19455E"/>
            <w:u w:val="single"/>
            <w:sz w:val="19"/>
          </w:rPr>
          <w:t xml:space="preserve">ICO screening criteria</w:t>
        </w:r>
      </w:hyperlink>
      <w:r>
        <w:rPr>
          <w:rFonts w:ascii="Calibri" w:hAnsi="Calibri"/>
          <w:b w:val="0"/>
          <w:i w:val="0"/>
          <w:color w:val="4B4F58"/>
          <w:sz w:val="19"/>
        </w:rPr>
        <w:t>).</w:t>
      </w:r>
    </w:p>
    <w:p>
      <w:pPr>
        <w:keepNext/>
        <w:spacing w:before="180" w:after="60" w:line="264" w:lineRule="auto"/>
      </w:pPr>
      <w:r>
        <w:rPr>
          <w:rFonts w:ascii="Calibri" w:hAnsi="Calibri"/>
          <w:b/>
          <w:i w:val="0"/>
          <w:color w:val="03273F"/>
          <w:sz w:val="24"/>
        </w:rPr>
        <w:t>1.2 Practical triggers for passenger counting and welfare sensing</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4989"/>
        <w:gridCol w:w="998"/>
        <w:gridCol w:w="998"/>
        <w:gridCol w:w="2993"/>
      </w:tblGrid>
      <w:tr>
        <w:trPr>
          <w:tblHeader w:val="true"/>
        </w:trPr>
        <w:tc>
          <w:tcPr>
            <w:tcW w:type="dxa" w:w="4989"/>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Question</w:t>
            </w:r>
          </w:p>
        </w:tc>
        <w:tc>
          <w:tcPr>
            <w:tcW w:type="dxa" w:w="998"/>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Yes</w:t>
            </w:r>
          </w:p>
        </w:tc>
        <w:tc>
          <w:tcPr>
            <w:tcW w:type="dxa" w:w="998"/>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No</w:t>
            </w:r>
          </w:p>
        </w:tc>
        <w:tc>
          <w:tcPr>
            <w:tcW w:type="dxa" w:w="29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Notes</w:t>
            </w:r>
          </w:p>
        </w:tc>
      </w:tr>
      <w:tr>
        <w:tc>
          <w:tcPr>
            <w:tcW w:type="dxa" w:w="4989"/>
            <w:tcMar>
              <w:top w:w="80" w:type="dxa"/>
              <w:start w:w="85" w:type="dxa"/>
              <w:bottom w:w="80" w:type="dxa"/>
              <w:end w:w="85" w:type="dxa"/>
            </w:tcMar>
          </w:tcPr>
          <w:p>
            <w:pPr>
              <w:spacing w:before="0" w:after="0" w:line="264" w:lineRule="auto"/>
            </w:pPr>
            <w:r>
              <w:rPr>
                <w:rFonts w:ascii="Calibri" w:hAnsi="Calibri"/>
                <w:b/>
                <w:i w:val="0"/>
                <w:color w:val="2C3338"/>
                <w:sz w:val="16"/>
              </w:rPr>
              <w:t>Is the deployment anonymous counting only — aggregate boarding and alighting events, with no image, face template or passenger device identifier leaving the vehicle?</w:t>
            </w:r>
          </w:p>
        </w:tc>
        <w:tc>
          <w:tcPr>
            <w:tcW w:type="dxa" w:w="998"/>
            <w:shd w:val="clear" w:color="auto" w:fill="F2F6FA"/>
            <w:tcMar>
              <w:top w:w="80" w:type="dxa"/>
              <w:start w:w="85" w:type="dxa"/>
              <w:bottom w:w="80" w:type="dxa"/>
              <w:end w:w="85" w:type="dxa"/>
            </w:tcMar>
          </w:tcPr>
          <w:p>
            <w:pPr>
              <w:spacing w:before="0" w:after="0" w:line="264" w:lineRule="auto"/>
            </w:pPr>
          </w:p>
        </w:tc>
        <w:tc>
          <w:tcPr>
            <w:tcW w:type="dxa" w:w="998"/>
            <w:shd w:val="clear" w:color="auto" w:fill="F2F6FA"/>
            <w:tcMar>
              <w:top w:w="80" w:type="dxa"/>
              <w:start w:w="85" w:type="dxa"/>
              <w:bottom w:w="80" w:type="dxa"/>
              <w:end w:w="85" w:type="dxa"/>
            </w:tcMar>
          </w:tcPr>
          <w:p>
            <w:pPr>
              <w:spacing w:before="0" w:after="0" w:line="264" w:lineRule="auto"/>
            </w:pP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4989"/>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Will counting data be combined with existing on-board CCTV, or will CCTV be brought into the same platform, dashboard or export?</w:t>
            </w:r>
          </w:p>
        </w:tc>
        <w:tc>
          <w:tcPr>
            <w:tcW w:type="dxa" w:w="998"/>
            <w:shd w:val="clear" w:color="auto" w:fill="F2F6FA"/>
            <w:tcMar>
              <w:top w:w="80" w:type="dxa"/>
              <w:start w:w="85" w:type="dxa"/>
              <w:bottom w:w="80" w:type="dxa"/>
              <w:end w:w="85" w:type="dxa"/>
            </w:tcMar>
          </w:tcPr>
          <w:p>
            <w:pPr>
              <w:spacing w:before="0" w:after="0" w:line="264" w:lineRule="auto"/>
            </w:pPr>
          </w:p>
        </w:tc>
        <w:tc>
          <w:tcPr>
            <w:tcW w:type="dxa" w:w="998"/>
            <w:shd w:val="clear" w:color="auto" w:fill="F2F6FA"/>
            <w:tcMar>
              <w:top w:w="80" w:type="dxa"/>
              <w:start w:w="85" w:type="dxa"/>
              <w:bottom w:w="80" w:type="dxa"/>
              <w:end w:w="85" w:type="dxa"/>
            </w:tcMar>
          </w:tcPr>
          <w:p>
            <w:pPr>
              <w:spacing w:before="0" w:after="0" w:line="264" w:lineRule="auto"/>
            </w:pP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4989"/>
            <w:tcMar>
              <w:top w:w="80" w:type="dxa"/>
              <w:start w:w="85" w:type="dxa"/>
              <w:bottom w:w="80" w:type="dxa"/>
              <w:end w:w="85" w:type="dxa"/>
            </w:tcMar>
          </w:tcPr>
          <w:p>
            <w:pPr>
              <w:spacing w:before="0" w:after="0" w:line="264" w:lineRule="auto"/>
            </w:pPr>
            <w:r>
              <w:rPr>
                <w:rFonts w:ascii="Calibri" w:hAnsi="Calibri"/>
                <w:b/>
                <w:i w:val="0"/>
                <w:color w:val="2C3338"/>
                <w:sz w:val="16"/>
              </w:rPr>
              <w:t>Will welfare or behaviour analytics be enabled (for example distress, aggression, disruption, lone-traveller or dwell signals)?</w:t>
            </w:r>
          </w:p>
        </w:tc>
        <w:tc>
          <w:tcPr>
            <w:tcW w:type="dxa" w:w="998"/>
            <w:shd w:val="clear" w:color="auto" w:fill="F2F6FA"/>
            <w:tcMar>
              <w:top w:w="80" w:type="dxa"/>
              <w:start w:w="85" w:type="dxa"/>
              <w:bottom w:w="80" w:type="dxa"/>
              <w:end w:w="85" w:type="dxa"/>
            </w:tcMar>
          </w:tcPr>
          <w:p>
            <w:pPr>
              <w:spacing w:before="0" w:after="0" w:line="264" w:lineRule="auto"/>
            </w:pPr>
          </w:p>
        </w:tc>
        <w:tc>
          <w:tcPr>
            <w:tcW w:type="dxa" w:w="998"/>
            <w:shd w:val="clear" w:color="auto" w:fill="F2F6FA"/>
            <w:tcMar>
              <w:top w:w="80" w:type="dxa"/>
              <w:start w:w="85" w:type="dxa"/>
              <w:bottom w:w="80" w:type="dxa"/>
              <w:end w:w="85" w:type="dxa"/>
            </w:tcMar>
          </w:tcPr>
          <w:p>
            <w:pPr>
              <w:spacing w:before="0" w:after="0" w:line="264" w:lineRule="auto"/>
            </w:pP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4989"/>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Will any camera perform identification, face matching, demographic estimation or re-identification of individuals across journeys?</w:t>
            </w:r>
          </w:p>
        </w:tc>
        <w:tc>
          <w:tcPr>
            <w:tcW w:type="dxa" w:w="998"/>
            <w:shd w:val="clear" w:color="auto" w:fill="F2F6FA"/>
            <w:tcMar>
              <w:top w:w="80" w:type="dxa"/>
              <w:start w:w="85" w:type="dxa"/>
              <w:bottom w:w="80" w:type="dxa"/>
              <w:end w:w="85" w:type="dxa"/>
            </w:tcMar>
          </w:tcPr>
          <w:p>
            <w:pPr>
              <w:spacing w:before="0" w:after="0" w:line="264" w:lineRule="auto"/>
            </w:pPr>
          </w:p>
        </w:tc>
        <w:tc>
          <w:tcPr>
            <w:tcW w:type="dxa" w:w="998"/>
            <w:shd w:val="clear" w:color="auto" w:fill="F2F6FA"/>
            <w:tcMar>
              <w:top w:w="80" w:type="dxa"/>
              <w:start w:w="85" w:type="dxa"/>
              <w:bottom w:w="80" w:type="dxa"/>
              <w:end w:w="85" w:type="dxa"/>
            </w:tcMar>
          </w:tcPr>
          <w:p>
            <w:pPr>
              <w:spacing w:before="0" w:after="0" w:line="264" w:lineRule="auto"/>
            </w:pP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4989"/>
            <w:tcMar>
              <w:top w:w="80" w:type="dxa"/>
              <w:start w:w="85" w:type="dxa"/>
              <w:bottom w:w="80" w:type="dxa"/>
              <w:end w:w="85" w:type="dxa"/>
            </w:tcMar>
          </w:tcPr>
          <w:p>
            <w:pPr>
              <w:spacing w:before="0" w:after="0" w:line="264" w:lineRule="auto"/>
            </w:pPr>
            <w:r>
              <w:rPr>
                <w:rFonts w:ascii="Calibri" w:hAnsi="Calibri"/>
                <w:b/>
                <w:i w:val="0"/>
                <w:color w:val="2C3338"/>
                <w:sz w:val="16"/>
              </w:rPr>
              <w:t>Will counting or welfare records be linked to ticketing, smartcard, mobile app or payment records?</w:t>
            </w:r>
          </w:p>
        </w:tc>
        <w:tc>
          <w:tcPr>
            <w:tcW w:type="dxa" w:w="998"/>
            <w:shd w:val="clear" w:color="auto" w:fill="F2F6FA"/>
            <w:tcMar>
              <w:top w:w="80" w:type="dxa"/>
              <w:start w:w="85" w:type="dxa"/>
              <w:bottom w:w="80" w:type="dxa"/>
              <w:end w:w="85" w:type="dxa"/>
            </w:tcMar>
          </w:tcPr>
          <w:p>
            <w:pPr>
              <w:spacing w:before="0" w:after="0" w:line="264" w:lineRule="auto"/>
            </w:pPr>
          </w:p>
        </w:tc>
        <w:tc>
          <w:tcPr>
            <w:tcW w:type="dxa" w:w="998"/>
            <w:shd w:val="clear" w:color="auto" w:fill="F2F6FA"/>
            <w:tcMar>
              <w:top w:w="80" w:type="dxa"/>
              <w:start w:w="85" w:type="dxa"/>
              <w:bottom w:w="80" w:type="dxa"/>
              <w:end w:w="85" w:type="dxa"/>
            </w:tcMar>
          </w:tcPr>
          <w:p>
            <w:pPr>
              <w:spacing w:before="0" w:after="0" w:line="264" w:lineRule="auto"/>
            </w:pP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4989"/>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Will records be linked to staff, driver, duty, rota or scheduling records, such that an individual member of staff could be identified from them?</w:t>
            </w:r>
          </w:p>
        </w:tc>
        <w:tc>
          <w:tcPr>
            <w:tcW w:type="dxa" w:w="998"/>
            <w:shd w:val="clear" w:color="auto" w:fill="F2F6FA"/>
            <w:tcMar>
              <w:top w:w="80" w:type="dxa"/>
              <w:start w:w="85" w:type="dxa"/>
              <w:bottom w:w="80" w:type="dxa"/>
              <w:end w:w="85" w:type="dxa"/>
            </w:tcMar>
          </w:tcPr>
          <w:p>
            <w:pPr>
              <w:spacing w:before="0" w:after="0" w:line="264" w:lineRule="auto"/>
            </w:pPr>
          </w:p>
        </w:tc>
        <w:tc>
          <w:tcPr>
            <w:tcW w:type="dxa" w:w="998"/>
            <w:shd w:val="clear" w:color="auto" w:fill="F2F6FA"/>
            <w:tcMar>
              <w:top w:w="80" w:type="dxa"/>
              <w:start w:w="85" w:type="dxa"/>
              <w:bottom w:w="80" w:type="dxa"/>
              <w:end w:w="85" w:type="dxa"/>
            </w:tcMar>
          </w:tcPr>
          <w:p>
            <w:pPr>
              <w:spacing w:before="0" w:after="0" w:line="264" w:lineRule="auto"/>
            </w:pP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4989"/>
            <w:tcMar>
              <w:top w:w="80" w:type="dxa"/>
              <w:start w:w="85" w:type="dxa"/>
              <w:bottom w:w="80" w:type="dxa"/>
              <w:end w:w="85" w:type="dxa"/>
            </w:tcMar>
          </w:tcPr>
          <w:p>
            <w:pPr>
              <w:spacing w:before="0" w:after="0" w:line="264" w:lineRule="auto"/>
            </w:pPr>
            <w:r>
              <w:rPr>
                <w:rFonts w:ascii="Calibri" w:hAnsi="Calibri"/>
                <w:b/>
                <w:i w:val="0"/>
                <w:color w:val="2C3338"/>
                <w:sz w:val="16"/>
              </w:rPr>
              <w:t>Will vehicle location be recorded at a granularity and frequency that could place a known individual (for example a lone passenger or a driver) at a place and time?</w:t>
            </w:r>
          </w:p>
        </w:tc>
        <w:tc>
          <w:tcPr>
            <w:tcW w:type="dxa" w:w="998"/>
            <w:shd w:val="clear" w:color="auto" w:fill="F2F6FA"/>
            <w:tcMar>
              <w:top w:w="80" w:type="dxa"/>
              <w:start w:w="85" w:type="dxa"/>
              <w:bottom w:w="80" w:type="dxa"/>
              <w:end w:w="85" w:type="dxa"/>
            </w:tcMar>
          </w:tcPr>
          <w:p>
            <w:pPr>
              <w:spacing w:before="0" w:after="0" w:line="264" w:lineRule="auto"/>
            </w:pPr>
          </w:p>
        </w:tc>
        <w:tc>
          <w:tcPr>
            <w:tcW w:type="dxa" w:w="998"/>
            <w:shd w:val="clear" w:color="auto" w:fill="F2F6FA"/>
            <w:tcMar>
              <w:top w:w="80" w:type="dxa"/>
              <w:start w:w="85" w:type="dxa"/>
              <w:bottom w:w="80" w:type="dxa"/>
              <w:end w:w="85" w:type="dxa"/>
            </w:tcMar>
          </w:tcPr>
          <w:p>
            <w:pPr>
              <w:spacing w:before="0" w:after="0" w:line="264" w:lineRule="auto"/>
            </w:pP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4989"/>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Will welfare events trigger an intervention affecting a person — a driver alert, a controller dispatch, a police referral or a staff performance conversation?</w:t>
            </w:r>
          </w:p>
        </w:tc>
        <w:tc>
          <w:tcPr>
            <w:tcW w:type="dxa" w:w="998"/>
            <w:shd w:val="clear" w:color="auto" w:fill="F2F6FA"/>
            <w:tcMar>
              <w:top w:w="80" w:type="dxa"/>
              <w:start w:w="85" w:type="dxa"/>
              <w:bottom w:w="80" w:type="dxa"/>
              <w:end w:w="85" w:type="dxa"/>
            </w:tcMar>
          </w:tcPr>
          <w:p>
            <w:pPr>
              <w:spacing w:before="0" w:after="0" w:line="264" w:lineRule="auto"/>
            </w:pPr>
          </w:p>
        </w:tc>
        <w:tc>
          <w:tcPr>
            <w:tcW w:type="dxa" w:w="998"/>
            <w:shd w:val="clear" w:color="auto" w:fill="F2F6FA"/>
            <w:tcMar>
              <w:top w:w="80" w:type="dxa"/>
              <w:start w:w="85" w:type="dxa"/>
              <w:bottom w:w="80" w:type="dxa"/>
              <w:end w:w="85" w:type="dxa"/>
            </w:tcMar>
          </w:tcPr>
          <w:p>
            <w:pPr>
              <w:spacing w:before="0" w:after="0" w:line="264" w:lineRule="auto"/>
            </w:pP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4989"/>
            <w:tcMar>
              <w:top w:w="80" w:type="dxa"/>
              <w:start w:w="85" w:type="dxa"/>
              <w:bottom w:w="80" w:type="dxa"/>
              <w:end w:w="85" w:type="dxa"/>
            </w:tcMar>
          </w:tcPr>
          <w:p>
            <w:pPr>
              <w:spacing w:before="0" w:after="0" w:line="264" w:lineRule="auto"/>
            </w:pPr>
            <w:r>
              <w:rPr>
                <w:rFonts w:ascii="Calibri" w:hAnsi="Calibri"/>
                <w:b/>
                <w:i w:val="0"/>
                <w:color w:val="2C3338"/>
                <w:sz w:val="16"/>
              </w:rPr>
              <w:t>Will any data be shared outside the controller, or hosted or supported from outside the United Kingdom?</w:t>
            </w:r>
          </w:p>
        </w:tc>
        <w:tc>
          <w:tcPr>
            <w:tcW w:type="dxa" w:w="998"/>
            <w:shd w:val="clear" w:color="auto" w:fill="F2F6FA"/>
            <w:tcMar>
              <w:top w:w="80" w:type="dxa"/>
              <w:start w:w="85" w:type="dxa"/>
              <w:bottom w:w="80" w:type="dxa"/>
              <w:end w:w="85" w:type="dxa"/>
            </w:tcMar>
          </w:tcPr>
          <w:p>
            <w:pPr>
              <w:spacing w:before="0" w:after="0" w:line="264" w:lineRule="auto"/>
            </w:pPr>
          </w:p>
        </w:tc>
        <w:tc>
          <w:tcPr>
            <w:tcW w:type="dxa" w:w="998"/>
            <w:shd w:val="clear" w:color="auto" w:fill="F2F6FA"/>
            <w:tcMar>
              <w:top w:w="80" w:type="dxa"/>
              <w:start w:w="85" w:type="dxa"/>
              <w:bottom w:w="80" w:type="dxa"/>
              <w:end w:w="85" w:type="dxa"/>
            </w:tcMar>
          </w:tcPr>
          <w:p>
            <w:pPr>
              <w:spacing w:before="0" w:after="0" w:line="264" w:lineRule="auto"/>
            </w:pP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4989"/>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Does the service carry a materially higher proportion of vulnerable passengers — for example a hospital, campus, school or social-care shuttle?</w:t>
            </w:r>
          </w:p>
        </w:tc>
        <w:tc>
          <w:tcPr>
            <w:tcW w:type="dxa" w:w="998"/>
            <w:shd w:val="clear" w:color="auto" w:fill="F2F6FA"/>
            <w:tcMar>
              <w:top w:w="80" w:type="dxa"/>
              <w:start w:w="85" w:type="dxa"/>
              <w:bottom w:w="80" w:type="dxa"/>
              <w:end w:w="85" w:type="dxa"/>
            </w:tcMar>
          </w:tcPr>
          <w:p>
            <w:pPr>
              <w:spacing w:before="0" w:after="0" w:line="264" w:lineRule="auto"/>
            </w:pPr>
          </w:p>
        </w:tc>
        <w:tc>
          <w:tcPr>
            <w:tcW w:type="dxa" w:w="998"/>
            <w:shd w:val="clear" w:color="auto" w:fill="F2F6FA"/>
            <w:tcMar>
              <w:top w:w="80" w:type="dxa"/>
              <w:start w:w="85" w:type="dxa"/>
              <w:bottom w:w="80" w:type="dxa"/>
              <w:end w:w="85" w:type="dxa"/>
            </w:tcMar>
          </w:tcPr>
          <w:p>
            <w:pPr>
              <w:spacing w:before="0" w:after="0" w:line="264" w:lineRule="auto"/>
            </w:pPr>
          </w:p>
        </w:tc>
        <w:tc>
          <w:tcPr>
            <w:tcW w:type="dxa" w:w="2993"/>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p>
      <w:pPr>
        <w:keepNext/>
        <w:spacing w:before="180" w:after="60" w:line="264" w:lineRule="auto"/>
      </w:pPr>
      <w:r>
        <w:rPr>
          <w:rFonts w:ascii="Calibri" w:hAnsi="Calibri"/>
          <w:b/>
          <w:i w:val="0"/>
          <w:color w:val="03273F"/>
          <w:sz w:val="24"/>
        </w:rPr>
        <w:t>1.3 Decision rule</w:t>
      </w:r>
    </w:p>
    <w:p>
      <w:pPr>
        <w:spacing w:before="0" w:after="100" w:line="283" w:lineRule="auto"/>
      </w:pPr>
      <w:r>
        <w:rPr>
          <w:rFonts w:ascii="Calibri" w:hAnsi="Calibri"/>
          <w:b/>
          <w:i w:val="0"/>
          <w:color w:val="4B4F58"/>
          <w:sz w:val="19"/>
        </w:rPr>
        <w:t>Anonymous counting alone.</w:t>
      </w:r>
      <w:r>
        <w:rPr>
          <w:rFonts w:ascii="Calibri" w:hAnsi="Calibri"/>
          <w:b w:val="0"/>
          <w:i w:val="0"/>
          <w:color w:val="4B4F58"/>
          <w:sz w:val="19"/>
        </w:rPr>
        <w:t xml:space="preserve"> Where overhead door sensors produce only aggregate boarding and alighting counts, no image or device identifier leaves the vehicle, and the counts are not linked to any record about an individual, the processing is usually low risk and a full DPIA is usually not required. That conclusion still requires a recorded screening decision, and it still requires you to verify the "no image, no identifier" property in your own installation rather than accept it as a claim.</w:t>
      </w:r>
    </w:p>
    <w:p>
      <w:pPr>
        <w:spacing w:before="0" w:after="100" w:line="283" w:lineRule="auto"/>
      </w:pPr>
      <w:r>
        <w:rPr>
          <w:rFonts w:ascii="Calibri" w:hAnsi="Calibri"/>
          <w:b/>
          <w:i w:val="0"/>
          <w:color w:val="4B4F58"/>
          <w:sz w:val="19"/>
        </w:rPr>
        <w:t>Anything that observes individuals.</w:t>
      </w:r>
      <w:r>
        <w:rPr>
          <w:rFonts w:ascii="Calibri" w:hAnsi="Calibri"/>
          <w:b w:val="0"/>
          <w:i w:val="0"/>
          <w:color w:val="4B4F58"/>
          <w:sz w:val="19"/>
        </w:rPr>
        <w:t xml:space="preserve"> If any question in section 1.2 about CCTV, welfare analytics, identification, ticketing or staff linkage, or intervention is answered "Yes", complete a full DPIA. Observing behaviour, inferring a state such as distress or aggression, or acting on an event about a person, all move the processing away from anonymous counting.</w:t>
      </w:r>
    </w:p>
    <w:tbl>
      <w:tblPr>
        <w:tblW w:type="auto" w:w="0"/>
        <w:tblBorders>
          <w:top w:val="single" w:sz="6" w:space="0" w:color="DCE3EA"/>
          <w:left w:val="single" w:sz="6" w:space="0" w:color="DCE3EA"/>
          <w:bottom w:val="single" w:sz="6" w:space="0" w:color="DCE3EA"/>
          <w:right w:val="single" w:sz="6" w:space="0" w:color="DCE3EA"/>
        </w:tblBorders>
        <w:tblLayout w:type="fixed"/>
        <w:tblLook w:firstColumn="1" w:firstRow="1" w:lastColumn="0" w:lastRow="0" w:noHBand="0" w:noVBand="1" w:val="04A0"/>
      </w:tblPr>
      <w:tblGrid>
        <w:gridCol w:w="9978"/>
      </w:tblGrid>
      <w:tr>
        <w:tc>
          <w:tcPr>
            <w:tcW w:type="dxa" w:w="9978"/>
            <w:shd w:val="clear" w:color="auto" w:fill="F4F7FA"/>
            <w:tcMar>
              <w:top w:w="130" w:type="dxa"/>
              <w:start w:w="160" w:type="dxa"/>
              <w:bottom w:w="130" w:type="dxa"/>
              <w:end w:w="160" w:type="dxa"/>
            </w:tcMar>
          </w:tcPr>
          <w:p>
            <w:pPr>
              <w:spacing w:before="0" w:after="60" w:line="264" w:lineRule="auto"/>
            </w:pPr>
            <w:r>
              <w:rPr>
                <w:rFonts w:ascii="Calibri" w:hAnsi="Calibri"/>
                <w:b/>
                <w:i w:val="0"/>
                <w:color w:val="03273F"/>
                <w:sz w:val="20"/>
              </w:rPr>
              <w:t>A caution about the word "anonymous"</w:t>
            </w:r>
          </w:p>
          <w:p>
            <w:pPr>
              <w:spacing w:before="0" w:after="60" w:line="283" w:lineRule="auto"/>
            </w:pPr>
            <w:r>
              <w:rPr>
                <w:rFonts w:ascii="Calibri" w:hAnsi="Calibri"/>
                <w:b w:val="0"/>
                <w:i w:val="0"/>
                <w:color w:val="2C3338"/>
                <w:sz w:val="18"/>
              </w:rPr>
              <w:t>Do not describe a camera-based system as anonymous merely because no video clip is retained. Pseudonymisation is not anonymisation, and data that can still single out an individual remains personal data (</w:t>
            </w:r>
            <w:hyperlink r:id="rId13">
              <w:r>
                <w:rPr>
                  <w:rFonts w:ascii="Calibri" w:hAnsi="Calibri"/>
                  <w:color w:val="19455E"/>
                  <w:u w:val="single"/>
                  <w:sz w:val="18"/>
                </w:rPr>
                <w:t xml:space="preserve">ICO anonymisation guidance</w:t>
              </w:r>
            </w:hyperlink>
            <w:r>
              <w:rPr>
                <w:rFonts w:ascii="Calibri" w:hAnsi="Calibri"/>
                <w:b w:val="0"/>
                <w:i w:val="0"/>
                <w:color w:val="2C3338"/>
                <w:sz w:val="18"/>
              </w:rPr>
              <w:t>). The test is whether an individual can be identified or singled out, directly or indirectly, by anyone reasonably likely to try.</w:t>
            </w:r>
          </w:p>
        </w:tc>
      </w:tr>
    </w:tbl>
    <w:p>
      <w:pPr>
        <w:spacing w:before="0" w:after="80" w:line="240" w:lineRule="auto"/>
      </w:pPr>
    </w:p>
    <w:p>
      <w:pPr>
        <w:keepNext/>
        <w:spacing w:before="180" w:after="60" w:line="264" w:lineRule="auto"/>
      </w:pPr>
      <w:r>
        <w:rPr>
          <w:rFonts w:ascii="Calibri" w:hAnsi="Calibri"/>
          <w:b/>
          <w:i w:val="0"/>
          <w:color w:val="03273F"/>
          <w:sz w:val="24"/>
        </w:rPr>
        <w:t>1.4 Screening decision record</w:t>
      </w:r>
    </w:p>
    <w:tbl>
      <w:tblPr>
        <w:tblW w:type="auto" w:w="0"/>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4989"/>
        <w:gridCol w:w="4989"/>
      </w:tblGrid>
      <w:tr>
        <w:trPr>
          <w:cantSplit/>
        </w:trPr>
        <w:tc>
          <w:tcPr>
            <w:tcW w:type="dxa" w:w="4989"/>
            <w:tcMar>
              <w:top w:w="0" w:type="dxa"/>
              <w:start w:w="0" w:type="dxa"/>
              <w:bottom w:w="0" w:type="dxa"/>
              <w:end w:w="110" w:type="dxa"/>
            </w:tcMar>
          </w:tcPr>
          <w:p>
            <w:pPr>
              <w:keepNext/>
              <w:spacing w:before="0" w:after="20" w:line="240" w:lineRule="auto"/>
            </w:pPr>
            <w:r>
              <w:rPr>
                <w:rFonts w:ascii="Calibri" w:hAnsi="Calibri"/>
                <w:b/>
                <w:i w:val="0"/>
                <w:color w:val="19455E"/>
                <w:sz w:val="16"/>
              </w:rPr>
              <w:t>Deployment or contract reference</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c>
          <w:tcPr>
            <w:tcW w:type="dxa" w:w="4989"/>
            <w:tcMar>
              <w:top w:w="0" w:type="dxa"/>
              <w:start w:w="0" w:type="dxa"/>
              <w:bottom w:w="0" w:type="dxa"/>
              <w:end w:w="0" w:type="dxa"/>
            </w:tcMar>
          </w:tcPr>
          <w:p>
            <w:pPr>
              <w:keepNext/>
              <w:spacing w:before="0" w:after="20" w:line="240" w:lineRule="auto"/>
            </w:pPr>
            <w:r>
              <w:rPr>
                <w:rFonts w:ascii="Calibri" w:hAnsi="Calibri"/>
                <w:b/>
                <w:i w:val="0"/>
                <w:color w:val="19455E"/>
                <w:sz w:val="16"/>
              </w:rPr>
              <w:t>Date of screening</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r>
    </w:tbl>
    <w:p>
      <w:pPr>
        <w:spacing w:before="0" w:after="80" w:line="240" w:lineRule="auto"/>
      </w:pPr>
    </w:p>
    <w:tbl>
      <w:tblPr>
        <w:tblW w:type="auto" w:w="0"/>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4989"/>
        <w:gridCol w:w="4989"/>
      </w:tblGrid>
      <w:tr>
        <w:trPr>
          <w:cantSplit/>
        </w:trPr>
        <w:tc>
          <w:tcPr>
            <w:tcW w:type="dxa" w:w="4989"/>
            <w:tcMar>
              <w:top w:w="0" w:type="dxa"/>
              <w:start w:w="0" w:type="dxa"/>
              <w:bottom w:w="0" w:type="dxa"/>
              <w:end w:w="110" w:type="dxa"/>
            </w:tcMar>
          </w:tcPr>
          <w:p>
            <w:pPr>
              <w:keepNext/>
              <w:spacing w:before="0" w:after="20" w:line="240" w:lineRule="auto"/>
            </w:pPr>
            <w:r>
              <w:rPr>
                <w:rFonts w:ascii="Calibri" w:hAnsi="Calibri"/>
                <w:b/>
                <w:i w:val="0"/>
                <w:color w:val="19455E"/>
                <w:sz w:val="16"/>
              </w:rPr>
              <w:t>Completed by (name and role)</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c>
          <w:tcPr>
            <w:tcW w:type="dxa" w:w="4989"/>
            <w:tcMar>
              <w:top w:w="0" w:type="dxa"/>
              <w:start w:w="0" w:type="dxa"/>
              <w:bottom w:w="0" w:type="dxa"/>
              <w:end w:w="0" w:type="dxa"/>
            </w:tcMar>
          </w:tcPr>
          <w:p>
            <w:pPr>
              <w:keepNext/>
              <w:spacing w:before="0" w:after="20" w:line="240" w:lineRule="auto"/>
            </w:pPr>
            <w:r>
              <w:rPr>
                <w:rFonts w:ascii="Calibri" w:hAnsi="Calibri"/>
                <w:b/>
                <w:i w:val="0"/>
                <w:color w:val="19455E"/>
                <w:sz w:val="16"/>
              </w:rPr>
              <w:t>DPO consulted? Date</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r>
    </w:tbl>
    <w:p>
      <w:pPr>
        <w:spacing w:before="0" w:after="80" w:line="240" w:lineRule="auto"/>
      </w:pPr>
    </w:p>
    <w:tbl>
      <w:tblPr>
        <w:tblW w:type="auto" w:w="0"/>
        <w:tblBorders>
          <w:top w:val="none"/>
          <w:left w:val="none"/>
          <w:bottom w:val="none"/>
          <w:right w:val="none"/>
          <w:insideH w:val="none"/>
          <w:insideV w:val="none"/>
        </w:tblBorders>
        <w:tblLayout w:type="fixed"/>
        <w:tblLook w:firstColumn="1" w:firstRow="1" w:lastColumn="0" w:lastRow="0" w:noHBand="0" w:noVBand="1" w:val="04A0"/>
      </w:tblPr>
      <w:tblGrid>
        <w:gridCol w:w="9978"/>
      </w:tblGrid>
      <w:tr>
        <w:trPr>
          <w:cantSplit/>
        </w:trPr>
        <w:tc>
          <w:tcPr>
            <w:tcW w:type="dxa" w:w="9978"/>
            <w:tcMar>
              <w:top w:w="20" w:type="dxa"/>
              <w:start w:w="20" w:type="dxa"/>
              <w:bottom w:w="20" w:type="dxa"/>
              <w:end w:w="20" w:type="dxa"/>
            </w:tcMar>
          </w:tcPr>
          <w:p>
            <w:pPr>
              <w:keepNext/>
              <w:spacing w:before="0" w:after="20" w:line="240" w:lineRule="auto"/>
            </w:pPr>
            <w:r>
              <w:rPr>
                <w:rFonts w:ascii="Calibri" w:hAnsi="Calibri"/>
                <w:b/>
                <w:i w:val="0"/>
                <w:color w:val="19455E"/>
                <w:sz w:val="16"/>
              </w:rPr>
              <w:t>Configuration screened (sensors, cameras, analytics, linkages, fleet size, routes)</w:t>
            </w:r>
          </w:p>
        </w:tc>
      </w:tr>
      <w:tr>
        <w:trPr>
          <w:cantSplit/>
        </w:trPr>
        <w:tc>
          <w:tcPr>
            <w:tcW w:type="dxa" w:w="9978"/>
            <w:tcBorders>
              <w:top w:val="single" w:sz="6" w:color="C9CFD6"/>
              <w:left w:val="single" w:sz="6" w:color="C9CFD6"/>
              <w:bottom w:val="single" w:sz="6" w:color="C9CFD6"/>
              <w:right w:val="single" w:sz="6" w:color="C9CFD6"/>
            </w:tcBorders>
            <w:shd w:val="clear" w:color="auto" w:fill="F2F6FA"/>
            <w:tcMar>
              <w:top w:w="60" w:type="dxa"/>
              <w:start w:w="90" w:type="dxa"/>
              <w:bottom w:w="60" w:type="dxa"/>
              <w:end w:w="90" w:type="dxa"/>
            </w:tcMar>
          </w:tcPr>
          <w:p>
            <w:pPr>
              <w:keepNext/>
              <w:spacing w:before="0" w:after="0" w:line="300" w:lineRule="auto"/>
            </w:pPr>
            <w:r>
              <w:rPr>
                <w:sz w:val="19"/>
              </w:rPr>
            </w:r>
          </w:p>
          <w:p>
            <w:pPr>
              <w:keepNext/>
              <w:spacing w:before="0" w:after="0" w:line="300" w:lineRule="auto"/>
            </w:pPr>
            <w:r>
              <w:rPr>
                <w:sz w:val="19"/>
              </w:rPr>
            </w:r>
          </w:p>
          <w:p>
            <w:pPr>
              <w:keepNext/>
              <w:spacing w:before="0" w:after="0" w:line="300" w:lineRule="auto"/>
            </w:pPr>
            <w:r>
              <w:rPr>
                <w:sz w:val="19"/>
              </w:rPr>
            </w:r>
          </w:p>
        </w:tc>
      </w:tr>
    </w:tbl>
    <w:tbl>
      <w:tblPr>
        <w:tblW w:type="auto" w:w="0"/>
        <w:tblBorders>
          <w:top w:val="none"/>
          <w:left w:val="none"/>
          <w:bottom w:val="none"/>
          <w:right w:val="none"/>
          <w:insideH w:val="none"/>
          <w:insideV w:val="none"/>
        </w:tblBorders>
        <w:tblLayout w:type="fixed"/>
        <w:tblLook w:firstColumn="1" w:firstRow="1" w:lastColumn="0" w:lastRow="0" w:noHBand="0" w:noVBand="1" w:val="04A0"/>
      </w:tblPr>
      <w:tblGrid>
        <w:gridCol w:w="9978"/>
      </w:tblGrid>
      <w:tr>
        <w:trPr>
          <w:cantSplit/>
        </w:trPr>
        <w:tc>
          <w:tcPr>
            <w:tcW w:type="dxa" w:w="9978"/>
            <w:tcMar>
              <w:top w:w="20" w:type="dxa"/>
              <w:start w:w="20" w:type="dxa"/>
              <w:bottom w:w="20" w:type="dxa"/>
              <w:end w:w="20" w:type="dxa"/>
            </w:tcMar>
          </w:tcPr>
          <w:p>
            <w:pPr>
              <w:keepNext/>
              <w:spacing w:before="0" w:after="20" w:line="240" w:lineRule="auto"/>
            </w:pPr>
            <w:r>
              <w:rPr>
                <w:rFonts w:ascii="Calibri" w:hAnsi="Calibri"/>
                <w:b/>
                <w:i w:val="0"/>
                <w:color w:val="19455E"/>
                <w:sz w:val="16"/>
              </w:rPr>
              <w:t>Screening outcome — tick one: full DPIA required / DPIA not required, reasons recorded below</w:t>
            </w:r>
          </w:p>
        </w:tc>
      </w:tr>
      <w:tr>
        <w:trPr>
          <w:cantSplit/>
        </w:trPr>
        <w:tc>
          <w:tcPr>
            <w:tcW w:type="dxa" w:w="9978"/>
            <w:tcBorders>
              <w:top w:val="single" w:sz="6" w:color="C9CFD6"/>
              <w:left w:val="single" w:sz="6" w:color="C9CFD6"/>
              <w:bottom w:val="single" w:sz="6" w:color="C9CFD6"/>
              <w:right w:val="single" w:sz="6" w:color="C9CFD6"/>
            </w:tcBorders>
            <w:shd w:val="clear" w:color="auto" w:fill="F2F6FA"/>
            <w:tcMar>
              <w:top w:w="60" w:type="dxa"/>
              <w:start w:w="90" w:type="dxa"/>
              <w:bottom w:w="60" w:type="dxa"/>
              <w:end w:w="90" w:type="dxa"/>
            </w:tcMar>
          </w:tcPr>
          <w:p>
            <w:pPr>
              <w:keepNext/>
              <w:spacing w:before="0" w:after="0" w:line="300" w:lineRule="auto"/>
            </w:pPr>
            <w:r>
              <w:rPr>
                <w:sz w:val="19"/>
              </w:rPr>
            </w:r>
          </w:p>
          <w:p>
            <w:pPr>
              <w:keepNext/>
              <w:spacing w:before="0" w:after="0" w:line="300" w:lineRule="auto"/>
            </w:pPr>
            <w:r>
              <w:rPr>
                <w:sz w:val="19"/>
              </w:rPr>
            </w:r>
          </w:p>
        </w:tc>
      </w:tr>
    </w:tbl>
    <w:tbl>
      <w:tblPr>
        <w:tblW w:type="auto" w:w="0"/>
        <w:tblBorders>
          <w:top w:val="none"/>
          <w:left w:val="none"/>
          <w:bottom w:val="none"/>
          <w:right w:val="none"/>
          <w:insideH w:val="none"/>
          <w:insideV w:val="none"/>
        </w:tblBorders>
        <w:tblLayout w:type="fixed"/>
        <w:tblLook w:firstColumn="1" w:firstRow="1" w:lastColumn="0" w:lastRow="0" w:noHBand="0" w:noVBand="1" w:val="04A0"/>
      </w:tblPr>
      <w:tblGrid>
        <w:gridCol w:w="9978"/>
      </w:tblGrid>
      <w:tr>
        <w:trPr>
          <w:cantSplit/>
        </w:trPr>
        <w:tc>
          <w:tcPr>
            <w:tcW w:type="dxa" w:w="9978"/>
            <w:tcMar>
              <w:top w:w="20" w:type="dxa"/>
              <w:start w:w="20" w:type="dxa"/>
              <w:bottom w:w="20" w:type="dxa"/>
              <w:end w:w="20" w:type="dxa"/>
            </w:tcMar>
          </w:tcPr>
          <w:p>
            <w:pPr>
              <w:keepNext/>
              <w:spacing w:before="0" w:after="20" w:line="240" w:lineRule="auto"/>
            </w:pPr>
            <w:r>
              <w:rPr>
                <w:rFonts w:ascii="Calibri" w:hAnsi="Calibri"/>
                <w:b/>
                <w:i w:val="0"/>
                <w:color w:val="19455E"/>
                <w:sz w:val="16"/>
              </w:rPr>
              <w:t>Reasons for the outcome, including which triggers were engaged or excluded</w:t>
            </w:r>
          </w:p>
        </w:tc>
      </w:tr>
      <w:tr>
        <w:trPr>
          <w:cantSplit/>
        </w:trPr>
        <w:tc>
          <w:tcPr>
            <w:tcW w:type="dxa" w:w="9978"/>
            <w:tcBorders>
              <w:top w:val="single" w:sz="6" w:color="C9CFD6"/>
              <w:left w:val="single" w:sz="6" w:color="C9CFD6"/>
              <w:bottom w:val="single" w:sz="6" w:color="C9CFD6"/>
              <w:right w:val="single" w:sz="6" w:color="C9CFD6"/>
            </w:tcBorders>
            <w:shd w:val="clear" w:color="auto" w:fill="F2F6FA"/>
            <w:tcMar>
              <w:top w:w="60" w:type="dxa"/>
              <w:start w:w="90" w:type="dxa"/>
              <w:bottom w:w="60" w:type="dxa"/>
              <w:end w:w="90" w:type="dxa"/>
            </w:tcMar>
          </w:tcPr>
          <w:p>
            <w:pPr>
              <w:keepNext/>
              <w:spacing w:before="0" w:after="0" w:line="300" w:lineRule="auto"/>
            </w:pPr>
            <w:r>
              <w:rPr>
                <w:sz w:val="19"/>
              </w:rPr>
            </w:r>
          </w:p>
          <w:p>
            <w:pPr>
              <w:keepNext/>
              <w:spacing w:before="0" w:after="0" w:line="300" w:lineRule="auto"/>
            </w:pPr>
            <w:r>
              <w:rPr>
                <w:sz w:val="19"/>
              </w:rPr>
            </w:r>
          </w:p>
          <w:p>
            <w:pPr>
              <w:keepNext/>
              <w:spacing w:before="0" w:after="0" w:line="300" w:lineRule="auto"/>
            </w:pPr>
            <w:r>
              <w:rPr>
                <w:sz w:val="19"/>
              </w:rPr>
            </w:r>
          </w:p>
          <w:p>
            <w:pPr>
              <w:keepNext/>
              <w:spacing w:before="0" w:after="0" w:line="300" w:lineRule="auto"/>
            </w:pPr>
            <w:r>
              <w:rPr>
                <w:sz w:val="19"/>
              </w:rPr>
            </w:r>
          </w:p>
        </w:tc>
      </w:tr>
    </w:tbl>
    <w:tbl>
      <w:tblPr>
        <w:tblW w:type="auto" w:w="0"/>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4989"/>
        <w:gridCol w:w="4989"/>
      </w:tblGrid>
      <w:tr>
        <w:trPr>
          <w:cantSplit/>
        </w:trPr>
        <w:tc>
          <w:tcPr>
            <w:tcW w:type="dxa" w:w="4989"/>
            <w:tcMar>
              <w:top w:w="0" w:type="dxa"/>
              <w:start w:w="0" w:type="dxa"/>
              <w:bottom w:w="0" w:type="dxa"/>
              <w:end w:w="110" w:type="dxa"/>
            </w:tcMar>
          </w:tcPr>
          <w:p>
            <w:pPr>
              <w:keepNext/>
              <w:spacing w:before="0" w:after="20" w:line="240" w:lineRule="auto"/>
            </w:pPr>
            <w:r>
              <w:rPr>
                <w:rFonts w:ascii="Calibri" w:hAnsi="Calibri"/>
                <w:b/>
                <w:i w:val="0"/>
                <w:color w:val="19455E"/>
                <w:sz w:val="16"/>
              </w:rPr>
              <w:t>Signature</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c>
          <w:tcPr>
            <w:tcW w:type="dxa" w:w="4989"/>
            <w:tcMar>
              <w:top w:w="0" w:type="dxa"/>
              <w:start w:w="0" w:type="dxa"/>
              <w:bottom w:w="0" w:type="dxa"/>
              <w:end w:w="0" w:type="dxa"/>
            </w:tcMar>
          </w:tcPr>
          <w:p>
            <w:pPr>
              <w:keepNext/>
              <w:spacing w:before="0" w:after="20" w:line="240" w:lineRule="auto"/>
            </w:pPr>
            <w:r>
              <w:rPr>
                <w:rFonts w:ascii="Calibri" w:hAnsi="Calibri"/>
                <w:b/>
                <w:i w:val="0"/>
                <w:color w:val="19455E"/>
                <w:sz w:val="16"/>
              </w:rPr>
              <w:t>Review date</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r>
    </w:tbl>
    <w:p>
      <w:pPr>
        <w:spacing w:before="0" w:after="80" w:line="240" w:lineRule="auto"/>
      </w:pPr>
    </w:p>
    <w:tbl>
      <w:tblPr>
        <w:tblW w:type="auto" w:w="0"/>
        <w:jc w:val="left"/>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9978"/>
      </w:tblGrid>
      <w:tr>
        <w:trPr>
          <w:cantSplit/>
        </w:trPr>
        <w:tc>
          <w:tcPr>
            <w:tcW w:type="dxa" w:w="9978"/>
            <w:shd w:val="clear" w:color="auto" w:fill="03273F"/>
            <w:tcMar>
              <w:top w:w="150" w:type="dxa"/>
              <w:start w:w="170" w:type="dxa"/>
              <w:bottom w:w="150" w:type="dxa"/>
              <w:end w:w="170" w:type="dxa"/>
            </w:tcMar>
          </w:tcPr>
          <w:p>
            <w:pPr>
              <w:keepNext/>
              <w:spacing w:before="0" w:after="0" w:line="264" w:lineRule="auto"/>
            </w:pPr>
            <w:r>
              <w:rPr>
                <w:rFonts w:ascii="Calibri" w:hAnsi="Calibri"/>
                <w:b/>
                <w:color w:val="FFFFFF"/>
                <w:sz w:val="30"/>
              </w:rPr>
              <w:t>Step 2 — Describe the processing</w:t>
            </w:r>
          </w:p>
        </w:tc>
      </w:tr>
    </w:tbl>
    <w:p>
      <w:pPr>
        <w:keepNext/>
        <w:spacing w:before="0" w:after="60" w:line="240" w:lineRule="auto"/>
      </w:pPr>
    </w:p>
    <w:p>
      <w:pPr>
        <w:spacing w:before="0" w:after="100" w:line="283" w:lineRule="auto"/>
      </w:pPr>
      <w:r>
        <w:rPr>
          <w:rFonts w:ascii="Calibri" w:hAnsi="Calibri"/>
          <w:b w:val="0"/>
          <w:i w:val="0"/>
          <w:color w:val="4B4F58"/>
          <w:sz w:val="19"/>
        </w:rPr>
        <w:t>Edit every paragraph and table cell below so that it describes your deployment, and delete anything that does not apply.</w:t>
      </w:r>
    </w:p>
    <w:p>
      <w:pPr>
        <w:keepNext/>
        <w:spacing w:before="180" w:after="60" w:line="264" w:lineRule="auto"/>
      </w:pPr>
      <w:r>
        <w:rPr>
          <w:rFonts w:ascii="Calibri" w:hAnsi="Calibri"/>
          <w:b/>
          <w:i w:val="0"/>
          <w:color w:val="03273F"/>
          <w:sz w:val="24"/>
        </w:rPr>
        <w:t>2.1 Purposes of the processing</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2594"/>
        <w:gridCol w:w="4390"/>
        <w:gridCol w:w="2993"/>
      </w:tblGrid>
      <w:tr>
        <w:trPr>
          <w:tblHeader w:val="true"/>
        </w:trPr>
        <w:tc>
          <w:tcPr>
            <w:tcW w:type="dxa" w:w="2594"/>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Purpose</w:t>
            </w:r>
          </w:p>
        </w:tc>
        <w:tc>
          <w:tcPr>
            <w:tcW w:type="dxa" w:w="4390"/>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What it means in practice</w:t>
            </w:r>
          </w:p>
        </w:tc>
        <w:tc>
          <w:tcPr>
            <w:tcW w:type="dxa" w:w="29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In scope? Local detail</w:t>
            </w:r>
          </w:p>
        </w:tc>
      </w:tr>
      <w:tr>
        <w:tc>
          <w:tcPr>
            <w:tcW w:type="dxa" w:w="2594"/>
            <w:tcMar>
              <w:top w:w="80" w:type="dxa"/>
              <w:start w:w="85" w:type="dxa"/>
              <w:bottom w:w="80" w:type="dxa"/>
              <w:end w:w="85" w:type="dxa"/>
            </w:tcMar>
          </w:tcPr>
          <w:p>
            <w:pPr>
              <w:spacing w:before="0" w:after="0" w:line="264" w:lineRule="auto"/>
            </w:pPr>
            <w:r>
              <w:rPr>
                <w:rFonts w:ascii="Calibri" w:hAnsi="Calibri"/>
                <w:b/>
                <w:i w:val="0"/>
                <w:color w:val="2C3338"/>
                <w:sz w:val="16"/>
              </w:rPr>
              <w:t>Service planning</w:t>
            </w:r>
          </w:p>
        </w:tc>
        <w:tc>
          <w:tcPr>
            <w:tcW w:type="dxa" w:w="4390"/>
            <w:tcMar>
              <w:top w:w="80" w:type="dxa"/>
              <w:start w:w="85" w:type="dxa"/>
              <w:bottom w:w="80" w:type="dxa"/>
              <w:end w:w="85" w:type="dxa"/>
            </w:tcMar>
          </w:tcPr>
          <w:p>
            <w:pPr>
              <w:spacing w:before="0" w:after="0" w:line="264" w:lineRule="auto"/>
            </w:pPr>
            <w:r>
              <w:rPr>
                <w:rFonts w:ascii="Calibri" w:hAnsi="Calibri"/>
                <w:b w:val="0"/>
                <w:i w:val="0"/>
                <w:color w:val="4B4F58"/>
                <w:sz w:val="16"/>
              </w:rPr>
              <w:t>Understanding demand by stop, hour, day and route so that timetables, frequencies and vehicle allocation match actual loadings.</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594"/>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Capacity management</w:t>
            </w:r>
          </w:p>
        </w:tc>
        <w:tc>
          <w:tcPr>
            <w:tcW w:type="dxa" w:w="4390"/>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Identifying crowding and pass-bys, sizing vehicles, managing peak demand and informing passengers where an occupancy feed is published.</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594"/>
            <w:tcMar>
              <w:top w:w="80" w:type="dxa"/>
              <w:start w:w="85" w:type="dxa"/>
              <w:bottom w:w="80" w:type="dxa"/>
              <w:end w:w="85" w:type="dxa"/>
            </w:tcMar>
          </w:tcPr>
          <w:p>
            <w:pPr>
              <w:spacing w:before="0" w:after="0" w:line="264" w:lineRule="auto"/>
            </w:pPr>
            <w:r>
              <w:rPr>
                <w:rFonts w:ascii="Calibri" w:hAnsi="Calibri"/>
                <w:b/>
                <w:i w:val="0"/>
                <w:color w:val="2C3338"/>
                <w:sz w:val="16"/>
              </w:rPr>
              <w:t>Funding and contractual evidence</w:t>
            </w:r>
          </w:p>
        </w:tc>
        <w:tc>
          <w:tcPr>
            <w:tcW w:type="dxa" w:w="4390"/>
            <w:tcMar>
              <w:top w:w="80" w:type="dxa"/>
              <w:start w:w="85" w:type="dxa"/>
              <w:bottom w:w="80" w:type="dxa"/>
              <w:end w:w="85" w:type="dxa"/>
            </w:tcMar>
          </w:tcPr>
          <w:p>
            <w:pPr>
              <w:spacing w:before="0" w:after="0" w:line="264" w:lineRule="auto"/>
            </w:pPr>
            <w:r>
              <w:rPr>
                <w:rFonts w:ascii="Calibri" w:hAnsi="Calibri"/>
                <w:b w:val="0"/>
                <w:i w:val="0"/>
                <w:color w:val="4B4F58"/>
                <w:sz w:val="16"/>
              </w:rPr>
              <w:t>Evidencing patronage for subsidy, concessionary reimbursement, contract performance or grant reporting.</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594"/>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Passenger and staff safety</w:t>
            </w:r>
          </w:p>
        </w:tc>
        <w:tc>
          <w:tcPr>
            <w:tcW w:type="dxa" w:w="4390"/>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Where the welfare module is enabled, raising an operational alert so that a controller or driver can respond to an incident.</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594"/>
            <w:tcMar>
              <w:top w:w="80" w:type="dxa"/>
              <w:start w:w="85" w:type="dxa"/>
              <w:bottom w:w="80" w:type="dxa"/>
              <w:end w:w="85" w:type="dxa"/>
            </w:tcMar>
          </w:tcPr>
          <w:p>
            <w:pPr>
              <w:spacing w:before="0" w:after="0" w:line="264" w:lineRule="auto"/>
            </w:pPr>
            <w:r>
              <w:rPr>
                <w:rFonts w:ascii="Calibri" w:hAnsi="Calibri"/>
                <w:b/>
                <w:i w:val="0"/>
                <w:color w:val="2C3338"/>
                <w:sz w:val="16"/>
              </w:rPr>
              <w:t>Other (specify)</w:t>
            </w:r>
          </w:p>
        </w:tc>
        <w:tc>
          <w:tcPr>
            <w:tcW w:type="dxa" w:w="4390"/>
            <w:shd w:val="clear" w:color="auto" w:fill="F2F6FA"/>
            <w:tcMar>
              <w:top w:w="80" w:type="dxa"/>
              <w:start w:w="85" w:type="dxa"/>
              <w:bottom w:w="80" w:type="dxa"/>
              <w:end w:w="85" w:type="dxa"/>
            </w:tcMar>
          </w:tcPr>
          <w:p>
            <w:pPr>
              <w:spacing w:before="0" w:after="0" w:line="264" w:lineRule="auto"/>
            </w:pPr>
          </w:p>
        </w:tc>
        <w:tc>
          <w:tcPr>
            <w:tcW w:type="dxa" w:w="2993"/>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p>
      <w:pPr>
        <w:spacing w:before="0" w:after="100" w:line="283" w:lineRule="auto"/>
      </w:pPr>
      <w:r>
        <w:rPr>
          <w:rFonts w:ascii="Calibri" w:hAnsi="Calibri"/>
          <w:b w:val="0"/>
          <w:i w:val="0"/>
          <w:color w:val="4B4F58"/>
          <w:sz w:val="19"/>
        </w:rPr>
        <w:t>State the purposes narrowly. A broad purpose such as "operational improvement" makes function creep hard to police later, because almost any new use can be said to fall within it.</w:t>
      </w:r>
    </w:p>
    <w:p>
      <w:pPr>
        <w:keepNext/>
        <w:spacing w:before="180" w:after="60" w:line="264" w:lineRule="auto"/>
      </w:pPr>
      <w:r>
        <w:rPr>
          <w:rFonts w:ascii="Calibri" w:hAnsi="Calibri"/>
          <w:b/>
          <w:i w:val="0"/>
          <w:color w:val="03273F"/>
          <w:sz w:val="24"/>
        </w:rPr>
        <w:t>2.2 The processing chain</w:t>
      </w:r>
    </w:p>
    <w:p>
      <w:pPr>
        <w:spacing w:before="0" w:after="100" w:line="283" w:lineRule="auto"/>
      </w:pPr>
      <w:r>
        <w:rPr>
          <w:rFonts w:ascii="Calibri" w:hAnsi="Calibri"/>
          <w:b w:val="0"/>
          <w:i w:val="0"/>
          <w:color w:val="4B4F58"/>
          <w:sz w:val="19"/>
        </w:rPr>
        <w:t>The chain below reflects the architecture Smart Urban Sensing deploys. Confirm each stage against your own build: the assessment must follow the chain you have.</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1996"/>
        <w:gridCol w:w="4191"/>
        <w:gridCol w:w="3792"/>
      </w:tblGrid>
      <w:tr>
        <w:trPr>
          <w:tblHeader w:val="true"/>
        </w:trPr>
        <w:tc>
          <w:tcPr>
            <w:tcW w:type="dxa" w:w="1996"/>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Stage</w:t>
            </w:r>
          </w:p>
        </w:tc>
        <w:tc>
          <w:tcPr>
            <w:tcW w:type="dxa" w:w="4191"/>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Function</w:t>
            </w:r>
          </w:p>
        </w:tc>
        <w:tc>
          <w:tcPr>
            <w:tcW w:type="dxa" w:w="3792"/>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What data the stage holds</w:t>
            </w:r>
          </w:p>
        </w:tc>
      </w:tr>
      <w:tr>
        <w:tc>
          <w:tcPr>
            <w:tcW w:type="dxa" w:w="1996"/>
            <w:tcMar>
              <w:top w:w="80" w:type="dxa"/>
              <w:start w:w="85" w:type="dxa"/>
              <w:bottom w:w="80" w:type="dxa"/>
              <w:end w:w="85" w:type="dxa"/>
            </w:tcMar>
          </w:tcPr>
          <w:p>
            <w:pPr>
              <w:spacing w:before="0" w:after="0" w:line="264" w:lineRule="auto"/>
            </w:pPr>
            <w:r>
              <w:rPr>
                <w:rFonts w:ascii="Calibri" w:hAnsi="Calibri"/>
                <w:b/>
                <w:i w:val="0"/>
                <w:color w:val="2C3338"/>
                <w:sz w:val="16"/>
              </w:rPr>
              <w:t>Overhead door sensors</w:t>
            </w:r>
          </w:p>
        </w:tc>
        <w:tc>
          <w:tcPr>
            <w:tcW w:type="dxa" w:w="4191"/>
            <w:tcMar>
              <w:top w:w="80" w:type="dxa"/>
              <w:start w:w="85" w:type="dxa"/>
              <w:bottom w:w="80" w:type="dxa"/>
              <w:end w:w="85" w:type="dxa"/>
            </w:tcMar>
          </w:tcPr>
          <w:p>
            <w:pPr>
              <w:spacing w:before="0" w:after="0" w:line="264" w:lineRule="auto"/>
            </w:pPr>
            <w:r>
              <w:rPr>
                <w:rFonts w:ascii="Calibri" w:hAnsi="Calibri"/>
                <w:b w:val="0"/>
                <w:i w:val="0"/>
                <w:color w:val="4B4F58"/>
                <w:sz w:val="16"/>
              </w:rPr>
              <w:t>One sensor per door. Detection and counting are performed on the device; the device outputs boarding and alighting counts.</w:t>
            </w:r>
          </w:p>
        </w:tc>
        <w:tc>
          <w:tcPr>
            <w:tcW w:type="dxa" w:w="3792"/>
            <w:tcMar>
              <w:top w:w="80" w:type="dxa"/>
              <w:start w:w="85" w:type="dxa"/>
              <w:bottom w:w="80" w:type="dxa"/>
              <w:end w:w="85" w:type="dxa"/>
            </w:tcMar>
          </w:tcPr>
          <w:p>
            <w:pPr>
              <w:spacing w:before="0" w:after="0" w:line="264" w:lineRule="auto"/>
            </w:pPr>
            <w:r>
              <w:rPr>
                <w:rFonts w:ascii="Calibri" w:hAnsi="Calibri"/>
                <w:b w:val="0"/>
                <w:i w:val="0"/>
                <w:color w:val="4B4F58"/>
                <w:sz w:val="16"/>
              </w:rPr>
              <w:t>Counts and timestamps. In the counting path, no image, face template or passenger device identifier is output by the device.</w:t>
            </w:r>
          </w:p>
        </w:tc>
      </w:tr>
      <w:tr>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On-vehicle cellular gateway</w:t>
            </w:r>
          </w:p>
        </w:tc>
        <w:tc>
          <w:tcPr>
            <w:tcW w:type="dxa" w:w="4191"/>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Collects per-door counts and publishes them over MQTT secured with TLS. Carries vehicle and route identifiers.</w:t>
            </w:r>
          </w:p>
        </w:tc>
        <w:tc>
          <w:tcPr>
            <w:tcW w:type="dxa" w:w="3792"/>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Counts, vehicle identifier, route identifier, timestamps, position where a location source is fitted.</w:t>
            </w:r>
          </w:p>
        </w:tc>
      </w:tr>
      <w:tr>
        <w:tc>
          <w:tcPr>
            <w:tcW w:type="dxa" w:w="1996"/>
            <w:tcMar>
              <w:top w:w="80" w:type="dxa"/>
              <w:start w:w="85" w:type="dxa"/>
              <w:bottom w:w="80" w:type="dxa"/>
              <w:end w:w="85" w:type="dxa"/>
            </w:tcMar>
          </w:tcPr>
          <w:p>
            <w:pPr>
              <w:spacing w:before="0" w:after="0" w:line="264" w:lineRule="auto"/>
            </w:pPr>
            <w:r>
              <w:rPr>
                <w:rFonts w:ascii="Calibri" w:hAnsi="Calibri"/>
                <w:b/>
                <w:i w:val="0"/>
                <w:color w:val="2C3338"/>
                <w:sz w:val="16"/>
              </w:rPr>
              <w:t>Managed message broker</w:t>
            </w:r>
          </w:p>
        </w:tc>
        <w:tc>
          <w:tcPr>
            <w:tcW w:type="dxa" w:w="4191"/>
            <w:tcMar>
              <w:top w:w="80" w:type="dxa"/>
              <w:start w:w="85" w:type="dxa"/>
              <w:bottom w:w="80" w:type="dxa"/>
              <w:end w:w="85" w:type="dxa"/>
            </w:tcMar>
          </w:tcPr>
          <w:p>
            <w:pPr>
              <w:spacing w:before="0" w:after="0" w:line="264" w:lineRule="auto"/>
            </w:pPr>
            <w:r>
              <w:rPr>
                <w:rFonts w:ascii="Calibri" w:hAnsi="Calibri"/>
                <w:b w:val="0"/>
                <w:i w:val="0"/>
                <w:color w:val="4B4F58"/>
                <w:sz w:val="16"/>
              </w:rPr>
              <w:t>Cloud message broker with per-client credentials and topic-level permissions.</w:t>
            </w:r>
          </w:p>
        </w:tc>
        <w:tc>
          <w:tcPr>
            <w:tcW w:type="dxa" w:w="3792"/>
            <w:tcMar>
              <w:top w:w="80" w:type="dxa"/>
              <w:start w:w="85" w:type="dxa"/>
              <w:bottom w:w="80" w:type="dxa"/>
              <w:end w:w="85" w:type="dxa"/>
            </w:tcMar>
          </w:tcPr>
          <w:p>
            <w:pPr>
              <w:spacing w:before="0" w:after="0" w:line="264" w:lineRule="auto"/>
            </w:pPr>
            <w:r>
              <w:rPr>
                <w:rFonts w:ascii="Calibri" w:hAnsi="Calibri"/>
                <w:b w:val="0"/>
                <w:i w:val="0"/>
                <w:color w:val="4B4F58"/>
                <w:sz w:val="16"/>
              </w:rPr>
              <w:t>Messages in transit; short-lived queues. No long-term passenger record.</w:t>
            </w:r>
          </w:p>
        </w:tc>
      </w:tr>
      <w:tr>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Ingest and normalisation</w:t>
            </w:r>
          </w:p>
        </w:tc>
        <w:tc>
          <w:tcPr>
            <w:tcW w:type="dxa" w:w="4191"/>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Server-side service that normalises per-door topics into consistent records, applies validity and provenance rules.</w:t>
            </w:r>
          </w:p>
        </w:tc>
        <w:tc>
          <w:tcPr>
            <w:tcW w:type="dxa" w:w="3792"/>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Normalised count records, sensor-health state, location provenance fields.</w:t>
            </w:r>
          </w:p>
        </w:tc>
      </w:tr>
      <w:tr>
        <w:tc>
          <w:tcPr>
            <w:tcW w:type="dxa" w:w="1996"/>
            <w:tcMar>
              <w:top w:w="80" w:type="dxa"/>
              <w:start w:w="85" w:type="dxa"/>
              <w:bottom w:w="80" w:type="dxa"/>
              <w:end w:w="85" w:type="dxa"/>
            </w:tcMar>
          </w:tcPr>
          <w:p>
            <w:pPr>
              <w:spacing w:before="0" w:after="0" w:line="264" w:lineRule="auto"/>
            </w:pPr>
            <w:r>
              <w:rPr>
                <w:rFonts w:ascii="Calibri" w:hAnsi="Calibri"/>
                <w:b/>
                <w:i w:val="0"/>
                <w:color w:val="2C3338"/>
                <w:sz w:val="16"/>
              </w:rPr>
              <w:t>Persistent storage</w:t>
            </w:r>
          </w:p>
        </w:tc>
        <w:tc>
          <w:tcPr>
            <w:tcW w:type="dxa" w:w="4191"/>
            <w:tcMar>
              <w:top w:w="80" w:type="dxa"/>
              <w:start w:w="85" w:type="dxa"/>
              <w:bottom w:w="80" w:type="dxa"/>
              <w:end w:w="85" w:type="dxa"/>
            </w:tcMar>
          </w:tcPr>
          <w:p>
            <w:pPr>
              <w:spacing w:before="0" w:after="0" w:line="264" w:lineRule="auto"/>
            </w:pPr>
            <w:r>
              <w:rPr>
                <w:rFonts w:ascii="Calibri" w:hAnsi="Calibri"/>
                <w:b w:val="0"/>
                <w:i w:val="0"/>
                <w:color w:val="4B4F58"/>
                <w:sz w:val="16"/>
              </w:rPr>
              <w:t>Database on a persistent volume so records survive redeploys.</w:t>
            </w:r>
          </w:p>
        </w:tc>
        <w:tc>
          <w:tcPr>
            <w:tcW w:type="dxa" w:w="3792"/>
            <w:tcMar>
              <w:top w:w="80" w:type="dxa"/>
              <w:start w:w="85" w:type="dxa"/>
              <w:bottom w:w="80" w:type="dxa"/>
              <w:end w:w="85" w:type="dxa"/>
            </w:tcMar>
          </w:tcPr>
          <w:p>
            <w:pPr>
              <w:spacing w:before="0" w:after="0" w:line="264" w:lineRule="auto"/>
            </w:pPr>
            <w:r>
              <w:rPr>
                <w:rFonts w:ascii="Calibri" w:hAnsi="Calibri"/>
                <w:b w:val="0"/>
                <w:i w:val="0"/>
                <w:color w:val="4B4F58"/>
                <w:sz w:val="16"/>
              </w:rPr>
              <w:t>Count records by stop and hour, derived aggregates, sensor-health history, welfare event records where the module is enabled, dashboard account records.</w:t>
            </w:r>
          </w:p>
        </w:tc>
      </w:tr>
      <w:tr>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Dashboard and REST API</w:t>
            </w:r>
          </w:p>
        </w:tc>
        <w:tc>
          <w:tcPr>
            <w:tcW w:type="dxa" w:w="4191"/>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Daily, weekly, monthly and yearly views; route and vehicle filters; value summaries; API access for integrations.</w:t>
            </w:r>
          </w:p>
        </w:tc>
        <w:tc>
          <w:tcPr>
            <w:tcW w:type="dxa" w:w="3792"/>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Aggregated counts and derived metrics; welfare event states where enabled; access and diagnostic logs.</w:t>
            </w:r>
          </w:p>
        </w:tc>
      </w:tr>
      <w:tr>
        <w:tc>
          <w:tcPr>
            <w:tcW w:type="dxa" w:w="1996"/>
            <w:tcMar>
              <w:top w:w="80" w:type="dxa"/>
              <w:start w:w="85" w:type="dxa"/>
              <w:bottom w:w="80" w:type="dxa"/>
              <w:end w:w="85" w:type="dxa"/>
            </w:tcMar>
          </w:tcPr>
          <w:p>
            <w:pPr>
              <w:spacing w:before="0" w:after="0" w:line="264" w:lineRule="auto"/>
            </w:pPr>
            <w:r>
              <w:rPr>
                <w:rFonts w:ascii="Calibri" w:hAnsi="Calibri"/>
                <w:b/>
                <w:i w:val="0"/>
                <w:color w:val="2C3338"/>
                <w:sz w:val="16"/>
              </w:rPr>
              <w:t>Exports and reporting</w:t>
            </w:r>
          </w:p>
        </w:tc>
        <w:tc>
          <w:tcPr>
            <w:tcW w:type="dxa" w:w="4191"/>
            <w:tcMar>
              <w:top w:w="80" w:type="dxa"/>
              <w:start w:w="85" w:type="dxa"/>
              <w:bottom w:w="80" w:type="dxa"/>
              <w:end w:w="85" w:type="dxa"/>
            </w:tcMar>
          </w:tcPr>
          <w:p>
            <w:pPr>
              <w:spacing w:before="0" w:after="0" w:line="264" w:lineRule="auto"/>
            </w:pPr>
            <w:r>
              <w:rPr>
                <w:rFonts w:ascii="Calibri" w:hAnsi="Calibri"/>
                <w:b w:val="0"/>
                <w:i w:val="0"/>
                <w:color w:val="4B4F58"/>
                <w:sz w:val="16"/>
              </w:rPr>
              <w:t>PDF, Excel and CSV exports, chart capture to PDF.</w:t>
            </w:r>
          </w:p>
        </w:tc>
        <w:tc>
          <w:tcPr>
            <w:tcW w:type="dxa" w:w="3792"/>
            <w:tcMar>
              <w:top w:w="80" w:type="dxa"/>
              <w:start w:w="85" w:type="dxa"/>
              <w:bottom w:w="80" w:type="dxa"/>
              <w:end w:w="85" w:type="dxa"/>
            </w:tcMar>
          </w:tcPr>
          <w:p>
            <w:pPr>
              <w:spacing w:before="0" w:after="0" w:line="264" w:lineRule="auto"/>
            </w:pPr>
            <w:r>
              <w:rPr>
                <w:rFonts w:ascii="Calibri" w:hAnsi="Calibri"/>
                <w:b w:val="0"/>
                <w:i w:val="0"/>
                <w:color w:val="4B4F58"/>
                <w:sz w:val="16"/>
              </w:rPr>
              <w:t>Whatever the exporting user selects. Exports leave the platform boundary and are then under the controller’s own control.</w:t>
            </w:r>
          </w:p>
        </w:tc>
      </w:tr>
    </w:tbl>
    <w:p>
      <w:pPr>
        <w:spacing w:before="0" w:after="100" w:line="240" w:lineRule="auto"/>
      </w:pPr>
    </w:p>
    <w:p>
      <w:pPr>
        <w:keepNext/>
        <w:spacing w:before="180" w:after="60" w:line="264" w:lineRule="auto"/>
      </w:pPr>
      <w:r>
        <w:rPr>
          <w:rFonts w:ascii="Calibri" w:hAnsi="Calibri"/>
          <w:b/>
          <w:i w:val="0"/>
          <w:color w:val="03273F"/>
          <w:sz w:val="24"/>
        </w:rPr>
        <w:t>2.3 Data map</w:t>
      </w:r>
    </w:p>
    <w:p>
      <w:pPr>
        <w:spacing w:before="0" w:after="100" w:line="283" w:lineRule="auto"/>
      </w:pPr>
      <w:r>
        <w:rPr>
          <w:rFonts w:ascii="Calibri" w:hAnsi="Calibri"/>
          <w:b w:val="0"/>
          <w:i w:val="0"/>
          <w:color w:val="4B4F58"/>
          <w:sz w:val="19"/>
        </w:rPr>
        <w:t>Complete one row per data element. "Depends" is a legitimate answer, but resolve it before sign-off: record what it depends on and who will decide.</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1746"/>
        <w:gridCol w:w="1247"/>
        <w:gridCol w:w="1347"/>
        <w:gridCol w:w="998"/>
        <w:gridCol w:w="1098"/>
        <w:gridCol w:w="998"/>
        <w:gridCol w:w="1547"/>
        <w:gridCol w:w="998"/>
      </w:tblGrid>
      <w:tr>
        <w:trPr>
          <w:tblHeader w:val="true"/>
        </w:trPr>
        <w:tc>
          <w:tcPr>
            <w:tcW w:type="dxa" w:w="1746"/>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Data element</w:t>
            </w:r>
          </w:p>
        </w:tc>
        <w:tc>
          <w:tcPr>
            <w:tcW w:type="dxa" w:w="1247"/>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Source</w:t>
            </w:r>
          </w:p>
        </w:tc>
        <w:tc>
          <w:tcPr>
            <w:tcW w:type="dxa" w:w="1347"/>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Personal data?</w:t>
            </w:r>
          </w:p>
        </w:tc>
        <w:tc>
          <w:tcPr>
            <w:tcW w:type="dxa" w:w="998"/>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Where processed</w:t>
            </w:r>
          </w:p>
        </w:tc>
        <w:tc>
          <w:tcPr>
            <w:tcW w:type="dxa" w:w="1098"/>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Where stored</w:t>
            </w:r>
          </w:p>
        </w:tc>
        <w:tc>
          <w:tcPr>
            <w:tcW w:type="dxa" w:w="998"/>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Retention</w:t>
            </w:r>
          </w:p>
        </w:tc>
        <w:tc>
          <w:tcPr>
            <w:tcW w:type="dxa" w:w="1547"/>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Recipients</w:t>
            </w:r>
          </w:p>
        </w:tc>
        <w:tc>
          <w:tcPr>
            <w:tcW w:type="dxa" w:w="998"/>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Confirmed</w:t>
            </w:r>
          </w:p>
        </w:tc>
      </w:tr>
      <w:tr>
        <w:tc>
          <w:tcPr>
            <w:tcW w:type="dxa" w:w="1746"/>
            <w:tcMar>
              <w:top w:w="80" w:type="dxa"/>
              <w:start w:w="85" w:type="dxa"/>
              <w:bottom w:w="80" w:type="dxa"/>
              <w:end w:w="85" w:type="dxa"/>
            </w:tcMar>
          </w:tcPr>
          <w:p>
            <w:pPr>
              <w:spacing w:before="0" w:after="0" w:line="264" w:lineRule="auto"/>
            </w:pPr>
            <w:r>
              <w:rPr>
                <w:rFonts w:ascii="Calibri" w:hAnsi="Calibri"/>
                <w:b/>
                <w:i w:val="0"/>
                <w:color w:val="2C3338"/>
                <w:sz w:val="16"/>
              </w:rPr>
              <w:t>Boarding and alighting counts per door, per stop, per hour</w:t>
            </w:r>
          </w:p>
        </w:tc>
        <w:tc>
          <w:tcPr>
            <w:tcW w:type="dxa" w:w="1247"/>
            <w:tcMar>
              <w:top w:w="80" w:type="dxa"/>
              <w:start w:w="85" w:type="dxa"/>
              <w:bottom w:w="80" w:type="dxa"/>
              <w:end w:w="85" w:type="dxa"/>
            </w:tcMar>
          </w:tcPr>
          <w:p>
            <w:pPr>
              <w:spacing w:before="0" w:after="0" w:line="264" w:lineRule="auto"/>
            </w:pPr>
            <w:r>
              <w:rPr>
                <w:rFonts w:ascii="Calibri" w:hAnsi="Calibri"/>
                <w:b w:val="0"/>
                <w:i w:val="0"/>
                <w:color w:val="4B4F58"/>
                <w:sz w:val="16"/>
              </w:rPr>
              <w:t>Overhead door sensor</w:t>
            </w:r>
          </w:p>
        </w:tc>
        <w:tc>
          <w:tcPr>
            <w:tcW w:type="dxa" w:w="1347"/>
            <w:tcMar>
              <w:top w:w="80" w:type="dxa"/>
              <w:start w:w="85" w:type="dxa"/>
              <w:bottom w:w="80" w:type="dxa"/>
              <w:end w:w="85" w:type="dxa"/>
            </w:tcMar>
          </w:tcPr>
          <w:p>
            <w:pPr>
              <w:spacing w:before="0" w:after="0" w:line="264" w:lineRule="auto"/>
            </w:pPr>
            <w:r>
              <w:rPr>
                <w:rFonts w:ascii="Calibri" w:hAnsi="Calibri"/>
                <w:b w:val="0"/>
                <w:i w:val="0"/>
                <w:color w:val="4B4F58"/>
                <w:sz w:val="16"/>
              </w:rPr>
              <w:t>No — aggregate</w:t>
            </w:r>
          </w:p>
        </w:tc>
        <w:tc>
          <w:tcPr>
            <w:tcW w:type="dxa" w:w="998"/>
            <w:tcMar>
              <w:top w:w="80" w:type="dxa"/>
              <w:start w:w="85" w:type="dxa"/>
              <w:bottom w:w="80" w:type="dxa"/>
              <w:end w:w="85" w:type="dxa"/>
            </w:tcMar>
          </w:tcPr>
          <w:p>
            <w:pPr>
              <w:spacing w:before="0" w:after="0" w:line="264" w:lineRule="auto"/>
            </w:pPr>
            <w:r>
              <w:rPr>
                <w:rFonts w:ascii="Calibri" w:hAnsi="Calibri"/>
                <w:b w:val="0"/>
                <w:i w:val="0"/>
                <w:color w:val="4B4F58"/>
                <w:sz w:val="16"/>
              </w:rPr>
              <w:t>On device, then cloud ingest</w:t>
            </w:r>
          </w:p>
        </w:tc>
        <w:tc>
          <w:tcPr>
            <w:tcW w:type="dxa" w:w="1098"/>
            <w:tcMar>
              <w:top w:w="80" w:type="dxa"/>
              <w:start w:w="85" w:type="dxa"/>
              <w:bottom w:w="80" w:type="dxa"/>
              <w:end w:w="85" w:type="dxa"/>
            </w:tcMar>
          </w:tcPr>
          <w:p>
            <w:pPr>
              <w:spacing w:before="0" w:after="0" w:line="264" w:lineRule="auto"/>
            </w:pPr>
            <w:r>
              <w:rPr>
                <w:rFonts w:ascii="Calibri" w:hAnsi="Calibri"/>
                <w:b w:val="0"/>
                <w:i w:val="0"/>
                <w:color w:val="4B4F58"/>
                <w:sz w:val="16"/>
              </w:rPr>
              <w:t>Platform database</w:t>
            </w:r>
          </w:p>
        </w:tc>
        <w:tc>
          <w:tcPr>
            <w:tcW w:type="dxa" w:w="998"/>
            <w:shd w:val="clear" w:color="auto" w:fill="F2F6FA"/>
            <w:tcMar>
              <w:top w:w="80" w:type="dxa"/>
              <w:start w:w="85" w:type="dxa"/>
              <w:bottom w:w="80" w:type="dxa"/>
              <w:end w:w="85" w:type="dxa"/>
            </w:tcMar>
          </w:tcPr>
          <w:p>
            <w:pPr>
              <w:spacing w:before="0" w:after="0" w:line="264" w:lineRule="auto"/>
            </w:pPr>
          </w:p>
        </w:tc>
        <w:tc>
          <w:tcPr>
            <w:tcW w:type="dxa" w:w="1547"/>
            <w:tcMar>
              <w:top w:w="80" w:type="dxa"/>
              <w:start w:w="85" w:type="dxa"/>
              <w:bottom w:w="80" w:type="dxa"/>
              <w:end w:w="85" w:type="dxa"/>
            </w:tcMar>
          </w:tcPr>
          <w:p>
            <w:pPr>
              <w:spacing w:before="0" w:after="0" w:line="264" w:lineRule="auto"/>
            </w:pPr>
            <w:r>
              <w:rPr>
                <w:rFonts w:ascii="Calibri" w:hAnsi="Calibri"/>
                <w:b w:val="0"/>
                <w:i w:val="0"/>
                <w:color w:val="4B4F58"/>
                <w:sz w:val="16"/>
              </w:rPr>
              <w:t>Operator planning team</w:t>
            </w:r>
          </w:p>
        </w:tc>
        <w:tc>
          <w:tcPr>
            <w:tcW w:type="dxa" w:w="998"/>
            <w:shd w:val="clear" w:color="auto" w:fill="F2F6FA"/>
            <w:tcMar>
              <w:top w:w="80" w:type="dxa"/>
              <w:start w:w="85" w:type="dxa"/>
              <w:bottom w:w="80" w:type="dxa"/>
              <w:end w:w="85" w:type="dxa"/>
            </w:tcMar>
          </w:tcPr>
          <w:p>
            <w:pPr>
              <w:spacing w:before="0" w:after="0" w:line="264" w:lineRule="auto"/>
            </w:pPr>
          </w:p>
        </w:tc>
      </w:tr>
      <w:tr>
        <w:tc>
          <w:tcPr>
            <w:tcW w:type="dxa" w:w="174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Vehicle identifier and route identifier</w:t>
            </w:r>
          </w:p>
        </w:tc>
        <w:tc>
          <w:tcPr>
            <w:tcW w:type="dxa" w:w="1247"/>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Gateway config</w:t>
            </w:r>
          </w:p>
        </w:tc>
        <w:tc>
          <w:tcPr>
            <w:tcW w:type="dxa" w:w="1347"/>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No</w:t>
            </w:r>
          </w:p>
        </w:tc>
        <w:tc>
          <w:tcPr>
            <w:tcW w:type="dxa" w:w="9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Cloud ingest</w:t>
            </w:r>
          </w:p>
        </w:tc>
        <w:tc>
          <w:tcPr>
            <w:tcW w:type="dxa" w:w="10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Platform database</w:t>
            </w:r>
          </w:p>
        </w:tc>
        <w:tc>
          <w:tcPr>
            <w:tcW w:type="dxa" w:w="998"/>
            <w:shd w:val="clear" w:color="auto" w:fill="F2F6FA"/>
            <w:tcMar>
              <w:top w:w="80" w:type="dxa"/>
              <w:start w:w="85" w:type="dxa"/>
              <w:bottom w:w="80" w:type="dxa"/>
              <w:end w:w="85" w:type="dxa"/>
            </w:tcMar>
          </w:tcPr>
          <w:p>
            <w:pPr>
              <w:spacing w:before="0" w:after="0" w:line="264" w:lineRule="auto"/>
            </w:pPr>
          </w:p>
        </w:tc>
        <w:tc>
          <w:tcPr>
            <w:tcW w:type="dxa" w:w="1547"/>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Operator, authority</w:t>
            </w:r>
          </w:p>
        </w:tc>
        <w:tc>
          <w:tcPr>
            <w:tcW w:type="dxa" w:w="998"/>
            <w:shd w:val="clear" w:color="auto" w:fill="F2F6FA"/>
            <w:tcMar>
              <w:top w:w="80" w:type="dxa"/>
              <w:start w:w="85" w:type="dxa"/>
              <w:bottom w:w="80" w:type="dxa"/>
              <w:end w:w="85" w:type="dxa"/>
            </w:tcMar>
          </w:tcPr>
          <w:p>
            <w:pPr>
              <w:spacing w:before="0" w:after="0" w:line="264" w:lineRule="auto"/>
            </w:pPr>
          </w:p>
        </w:tc>
      </w:tr>
      <w:tr>
        <w:tc>
          <w:tcPr>
            <w:tcW w:type="dxa" w:w="1746"/>
            <w:tcMar>
              <w:top w:w="80" w:type="dxa"/>
              <w:start w:w="85" w:type="dxa"/>
              <w:bottom w:w="80" w:type="dxa"/>
              <w:end w:w="85" w:type="dxa"/>
            </w:tcMar>
          </w:tcPr>
          <w:p>
            <w:pPr>
              <w:spacing w:before="0" w:after="0" w:line="264" w:lineRule="auto"/>
            </w:pPr>
            <w:r>
              <w:rPr>
                <w:rFonts w:ascii="Calibri" w:hAnsi="Calibri"/>
                <w:b/>
                <w:i w:val="0"/>
                <w:color w:val="2C3338"/>
                <w:sz w:val="16"/>
              </w:rPr>
              <w:t>Vehicle position, with provenance fields recording whether the fix was measured, a stale fallback, scheduled or interpolated, or a bench-test value</w:t>
            </w:r>
          </w:p>
        </w:tc>
        <w:tc>
          <w:tcPr>
            <w:tcW w:type="dxa" w:w="1247"/>
            <w:tcMar>
              <w:top w:w="80" w:type="dxa"/>
              <w:start w:w="85" w:type="dxa"/>
              <w:bottom w:w="80" w:type="dxa"/>
              <w:end w:w="85" w:type="dxa"/>
            </w:tcMar>
          </w:tcPr>
          <w:p>
            <w:pPr>
              <w:spacing w:before="0" w:after="0" w:line="264" w:lineRule="auto"/>
            </w:pPr>
            <w:r>
              <w:rPr>
                <w:rFonts w:ascii="Calibri" w:hAnsi="Calibri"/>
                <w:b w:val="0"/>
                <w:i w:val="0"/>
                <w:color w:val="4B4F58"/>
                <w:sz w:val="16"/>
              </w:rPr>
              <w:t>Gateway or telematics</w:t>
            </w:r>
          </w:p>
        </w:tc>
        <w:tc>
          <w:tcPr>
            <w:tcW w:type="dxa" w:w="1347"/>
            <w:tcMar>
              <w:top w:w="80" w:type="dxa"/>
              <w:start w:w="85" w:type="dxa"/>
              <w:bottom w:w="80" w:type="dxa"/>
              <w:end w:w="85" w:type="dxa"/>
            </w:tcMar>
          </w:tcPr>
          <w:p>
            <w:pPr>
              <w:spacing w:before="0" w:after="0" w:line="264" w:lineRule="auto"/>
            </w:pPr>
            <w:r>
              <w:rPr>
                <w:rFonts w:ascii="Calibri" w:hAnsi="Calibri"/>
                <w:b w:val="0"/>
                <w:i w:val="0"/>
                <w:color w:val="4B4F58"/>
                <w:sz w:val="16"/>
              </w:rPr>
              <w:t>Depends — personal if linkable to a known driver or a lone passenger</w:t>
            </w:r>
          </w:p>
        </w:tc>
        <w:tc>
          <w:tcPr>
            <w:tcW w:type="dxa" w:w="998"/>
            <w:tcMar>
              <w:top w:w="80" w:type="dxa"/>
              <w:start w:w="85" w:type="dxa"/>
              <w:bottom w:w="80" w:type="dxa"/>
              <w:end w:w="85" w:type="dxa"/>
            </w:tcMar>
          </w:tcPr>
          <w:p>
            <w:pPr>
              <w:spacing w:before="0" w:after="0" w:line="264" w:lineRule="auto"/>
            </w:pPr>
            <w:r>
              <w:rPr>
                <w:rFonts w:ascii="Calibri" w:hAnsi="Calibri"/>
                <w:b w:val="0"/>
                <w:i w:val="0"/>
                <w:color w:val="4B4F58"/>
                <w:sz w:val="16"/>
              </w:rPr>
              <w:t>Cloud ingest</w:t>
            </w:r>
          </w:p>
        </w:tc>
        <w:tc>
          <w:tcPr>
            <w:tcW w:type="dxa" w:w="1098"/>
            <w:tcMar>
              <w:top w:w="80" w:type="dxa"/>
              <w:start w:w="85" w:type="dxa"/>
              <w:bottom w:w="80" w:type="dxa"/>
              <w:end w:w="85" w:type="dxa"/>
            </w:tcMar>
          </w:tcPr>
          <w:p>
            <w:pPr>
              <w:spacing w:before="0" w:after="0" w:line="264" w:lineRule="auto"/>
            </w:pPr>
            <w:r>
              <w:rPr>
                <w:rFonts w:ascii="Calibri" w:hAnsi="Calibri"/>
                <w:b w:val="0"/>
                <w:i w:val="0"/>
                <w:color w:val="4B4F58"/>
                <w:sz w:val="16"/>
              </w:rPr>
              <w:t>Platform database and diagnostic cache</w:t>
            </w:r>
          </w:p>
        </w:tc>
        <w:tc>
          <w:tcPr>
            <w:tcW w:type="dxa" w:w="998"/>
            <w:shd w:val="clear" w:color="auto" w:fill="F2F6FA"/>
            <w:tcMar>
              <w:top w:w="80" w:type="dxa"/>
              <w:start w:w="85" w:type="dxa"/>
              <w:bottom w:w="80" w:type="dxa"/>
              <w:end w:w="85" w:type="dxa"/>
            </w:tcMar>
          </w:tcPr>
          <w:p>
            <w:pPr>
              <w:spacing w:before="0" w:after="0" w:line="264" w:lineRule="auto"/>
            </w:pPr>
          </w:p>
        </w:tc>
        <w:tc>
          <w:tcPr>
            <w:tcW w:type="dxa" w:w="1547"/>
            <w:tcMar>
              <w:top w:w="80" w:type="dxa"/>
              <w:start w:w="85" w:type="dxa"/>
              <w:bottom w:w="80" w:type="dxa"/>
              <w:end w:w="85" w:type="dxa"/>
            </w:tcMar>
          </w:tcPr>
          <w:p>
            <w:pPr>
              <w:spacing w:before="0" w:after="0" w:line="264" w:lineRule="auto"/>
            </w:pPr>
            <w:r>
              <w:rPr>
                <w:rFonts w:ascii="Calibri" w:hAnsi="Calibri"/>
                <w:b w:val="0"/>
                <w:i w:val="0"/>
                <w:color w:val="4B4F58"/>
                <w:sz w:val="16"/>
              </w:rPr>
              <w:t>Operator, authority</w:t>
            </w:r>
          </w:p>
        </w:tc>
        <w:tc>
          <w:tcPr>
            <w:tcW w:type="dxa" w:w="998"/>
            <w:shd w:val="clear" w:color="auto" w:fill="F2F6FA"/>
            <w:tcMar>
              <w:top w:w="80" w:type="dxa"/>
              <w:start w:w="85" w:type="dxa"/>
              <w:bottom w:w="80" w:type="dxa"/>
              <w:end w:w="85" w:type="dxa"/>
            </w:tcMar>
          </w:tcPr>
          <w:p>
            <w:pPr>
              <w:spacing w:before="0" w:after="0" w:line="264" w:lineRule="auto"/>
            </w:pPr>
          </w:p>
        </w:tc>
      </w:tr>
      <w:tr>
        <w:tc>
          <w:tcPr>
            <w:tcW w:type="dxa" w:w="174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Occupancy derivation (running load)</w:t>
            </w:r>
          </w:p>
        </w:tc>
        <w:tc>
          <w:tcPr>
            <w:tcW w:type="dxa" w:w="1247"/>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Derived from counts</w:t>
            </w:r>
          </w:p>
        </w:tc>
        <w:tc>
          <w:tcPr>
            <w:tcW w:type="dxa" w:w="1347"/>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No — aggregate</w:t>
            </w:r>
          </w:p>
        </w:tc>
        <w:tc>
          <w:tcPr>
            <w:tcW w:type="dxa" w:w="9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Cloud</w:t>
            </w:r>
          </w:p>
        </w:tc>
        <w:tc>
          <w:tcPr>
            <w:tcW w:type="dxa" w:w="10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Platform database</w:t>
            </w:r>
          </w:p>
        </w:tc>
        <w:tc>
          <w:tcPr>
            <w:tcW w:type="dxa" w:w="998"/>
            <w:shd w:val="clear" w:color="auto" w:fill="F2F6FA"/>
            <w:tcMar>
              <w:top w:w="80" w:type="dxa"/>
              <w:start w:w="85" w:type="dxa"/>
              <w:bottom w:w="80" w:type="dxa"/>
              <w:end w:w="85" w:type="dxa"/>
            </w:tcMar>
          </w:tcPr>
          <w:p>
            <w:pPr>
              <w:spacing w:before="0" w:after="0" w:line="264" w:lineRule="auto"/>
            </w:pPr>
          </w:p>
        </w:tc>
        <w:tc>
          <w:tcPr>
            <w:tcW w:type="dxa" w:w="1547"/>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Operator; passengers where published</w:t>
            </w:r>
          </w:p>
        </w:tc>
        <w:tc>
          <w:tcPr>
            <w:tcW w:type="dxa" w:w="998"/>
            <w:shd w:val="clear" w:color="auto" w:fill="F2F6FA"/>
            <w:tcMar>
              <w:top w:w="80" w:type="dxa"/>
              <w:start w:w="85" w:type="dxa"/>
              <w:bottom w:w="80" w:type="dxa"/>
              <w:end w:w="85" w:type="dxa"/>
            </w:tcMar>
          </w:tcPr>
          <w:p>
            <w:pPr>
              <w:spacing w:before="0" w:after="0" w:line="264" w:lineRule="auto"/>
            </w:pPr>
          </w:p>
        </w:tc>
      </w:tr>
      <w:tr>
        <w:tc>
          <w:tcPr>
            <w:tcW w:type="dxa" w:w="1746"/>
            <w:tcMar>
              <w:top w:w="80" w:type="dxa"/>
              <w:start w:w="85" w:type="dxa"/>
              <w:bottom w:w="80" w:type="dxa"/>
              <w:end w:w="85" w:type="dxa"/>
            </w:tcMar>
          </w:tcPr>
          <w:p>
            <w:pPr>
              <w:spacing w:before="0" w:after="0" w:line="264" w:lineRule="auto"/>
            </w:pPr>
            <w:r>
              <w:rPr>
                <w:rFonts w:ascii="Calibri" w:hAnsi="Calibri"/>
                <w:b/>
                <w:i w:val="0"/>
                <w:color w:val="2C3338"/>
                <w:sz w:val="16"/>
              </w:rPr>
              <w:t>Dwell derivation — currently a proxy based on a no-alighting window, not per-passenger dwell time</w:t>
            </w:r>
          </w:p>
        </w:tc>
        <w:tc>
          <w:tcPr>
            <w:tcW w:type="dxa" w:w="1247"/>
            <w:tcMar>
              <w:top w:w="80" w:type="dxa"/>
              <w:start w:w="85" w:type="dxa"/>
              <w:bottom w:w="80" w:type="dxa"/>
              <w:end w:w="85" w:type="dxa"/>
            </w:tcMar>
          </w:tcPr>
          <w:p>
            <w:pPr>
              <w:spacing w:before="0" w:after="0" w:line="264" w:lineRule="auto"/>
            </w:pPr>
            <w:r>
              <w:rPr>
                <w:rFonts w:ascii="Calibri" w:hAnsi="Calibri"/>
                <w:b w:val="0"/>
                <w:i w:val="0"/>
                <w:color w:val="4B4F58"/>
                <w:sz w:val="16"/>
              </w:rPr>
              <w:t>Derived from counts</w:t>
            </w:r>
          </w:p>
        </w:tc>
        <w:tc>
          <w:tcPr>
            <w:tcW w:type="dxa" w:w="1347"/>
            <w:tcMar>
              <w:top w:w="80" w:type="dxa"/>
              <w:start w:w="85" w:type="dxa"/>
              <w:bottom w:w="80" w:type="dxa"/>
              <w:end w:w="85" w:type="dxa"/>
            </w:tcMar>
          </w:tcPr>
          <w:p>
            <w:pPr>
              <w:spacing w:before="0" w:after="0" w:line="264" w:lineRule="auto"/>
            </w:pPr>
            <w:r>
              <w:rPr>
                <w:rFonts w:ascii="Calibri" w:hAnsi="Calibri"/>
                <w:b w:val="0"/>
                <w:i w:val="0"/>
                <w:color w:val="4B4F58"/>
                <w:sz w:val="16"/>
              </w:rPr>
              <w:t>No — aggregate</w:t>
            </w:r>
          </w:p>
        </w:tc>
        <w:tc>
          <w:tcPr>
            <w:tcW w:type="dxa" w:w="998"/>
            <w:tcMar>
              <w:top w:w="80" w:type="dxa"/>
              <w:start w:w="85" w:type="dxa"/>
              <w:bottom w:w="80" w:type="dxa"/>
              <w:end w:w="85" w:type="dxa"/>
            </w:tcMar>
          </w:tcPr>
          <w:p>
            <w:pPr>
              <w:spacing w:before="0" w:after="0" w:line="264" w:lineRule="auto"/>
            </w:pPr>
            <w:r>
              <w:rPr>
                <w:rFonts w:ascii="Calibri" w:hAnsi="Calibri"/>
                <w:b w:val="0"/>
                <w:i w:val="0"/>
                <w:color w:val="4B4F58"/>
                <w:sz w:val="16"/>
              </w:rPr>
              <w:t>Cloud</w:t>
            </w:r>
          </w:p>
        </w:tc>
        <w:tc>
          <w:tcPr>
            <w:tcW w:type="dxa" w:w="1098"/>
            <w:tcMar>
              <w:top w:w="80" w:type="dxa"/>
              <w:start w:w="85" w:type="dxa"/>
              <w:bottom w:w="80" w:type="dxa"/>
              <w:end w:w="85" w:type="dxa"/>
            </w:tcMar>
          </w:tcPr>
          <w:p>
            <w:pPr>
              <w:spacing w:before="0" w:after="0" w:line="264" w:lineRule="auto"/>
            </w:pPr>
            <w:r>
              <w:rPr>
                <w:rFonts w:ascii="Calibri" w:hAnsi="Calibri"/>
                <w:b w:val="0"/>
                <w:i w:val="0"/>
                <w:color w:val="4B4F58"/>
                <w:sz w:val="16"/>
              </w:rPr>
              <w:t>Platform database</w:t>
            </w:r>
          </w:p>
        </w:tc>
        <w:tc>
          <w:tcPr>
            <w:tcW w:type="dxa" w:w="998"/>
            <w:shd w:val="clear" w:color="auto" w:fill="F2F6FA"/>
            <w:tcMar>
              <w:top w:w="80" w:type="dxa"/>
              <w:start w:w="85" w:type="dxa"/>
              <w:bottom w:w="80" w:type="dxa"/>
              <w:end w:w="85" w:type="dxa"/>
            </w:tcMar>
          </w:tcPr>
          <w:p>
            <w:pPr>
              <w:spacing w:before="0" w:after="0" w:line="264" w:lineRule="auto"/>
            </w:pPr>
          </w:p>
        </w:tc>
        <w:tc>
          <w:tcPr>
            <w:tcW w:type="dxa" w:w="1547"/>
            <w:tcMar>
              <w:top w:w="80" w:type="dxa"/>
              <w:start w:w="85" w:type="dxa"/>
              <w:bottom w:w="80" w:type="dxa"/>
              <w:end w:w="85" w:type="dxa"/>
            </w:tcMar>
          </w:tcPr>
          <w:p>
            <w:pPr>
              <w:spacing w:before="0" w:after="0" w:line="264" w:lineRule="auto"/>
            </w:pPr>
            <w:r>
              <w:rPr>
                <w:rFonts w:ascii="Calibri" w:hAnsi="Calibri"/>
                <w:b w:val="0"/>
                <w:i w:val="0"/>
                <w:color w:val="4B4F58"/>
                <w:sz w:val="16"/>
              </w:rPr>
              <w:t>Operator</w:t>
            </w:r>
          </w:p>
        </w:tc>
        <w:tc>
          <w:tcPr>
            <w:tcW w:type="dxa" w:w="998"/>
            <w:shd w:val="clear" w:color="auto" w:fill="F2F6FA"/>
            <w:tcMar>
              <w:top w:w="80" w:type="dxa"/>
              <w:start w:w="85" w:type="dxa"/>
              <w:bottom w:w="80" w:type="dxa"/>
              <w:end w:w="85" w:type="dxa"/>
            </w:tcMar>
          </w:tcPr>
          <w:p>
            <w:pPr>
              <w:spacing w:before="0" w:after="0" w:line="264" w:lineRule="auto"/>
            </w:pPr>
          </w:p>
        </w:tc>
      </w:tr>
      <w:tr>
        <w:tc>
          <w:tcPr>
            <w:tcW w:type="dxa" w:w="174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Sensor-health and liveness records, including expected shutdown windows</w:t>
            </w:r>
          </w:p>
        </w:tc>
        <w:tc>
          <w:tcPr>
            <w:tcW w:type="dxa" w:w="1247"/>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Ingest service</w:t>
            </w:r>
          </w:p>
        </w:tc>
        <w:tc>
          <w:tcPr>
            <w:tcW w:type="dxa" w:w="1347"/>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No</w:t>
            </w:r>
          </w:p>
        </w:tc>
        <w:tc>
          <w:tcPr>
            <w:tcW w:type="dxa" w:w="9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Cloud</w:t>
            </w:r>
          </w:p>
        </w:tc>
        <w:tc>
          <w:tcPr>
            <w:tcW w:type="dxa" w:w="10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Platform database</w:t>
            </w:r>
          </w:p>
        </w:tc>
        <w:tc>
          <w:tcPr>
            <w:tcW w:type="dxa" w:w="998"/>
            <w:shd w:val="clear" w:color="auto" w:fill="F2F6FA"/>
            <w:tcMar>
              <w:top w:w="80" w:type="dxa"/>
              <w:start w:w="85" w:type="dxa"/>
              <w:bottom w:w="80" w:type="dxa"/>
              <w:end w:w="85" w:type="dxa"/>
            </w:tcMar>
          </w:tcPr>
          <w:p>
            <w:pPr>
              <w:spacing w:before="0" w:after="0" w:line="264" w:lineRule="auto"/>
            </w:pPr>
          </w:p>
        </w:tc>
        <w:tc>
          <w:tcPr>
            <w:tcW w:type="dxa" w:w="1547"/>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Operator, supplier support</w:t>
            </w:r>
          </w:p>
        </w:tc>
        <w:tc>
          <w:tcPr>
            <w:tcW w:type="dxa" w:w="998"/>
            <w:shd w:val="clear" w:color="auto" w:fill="F2F6FA"/>
            <w:tcMar>
              <w:top w:w="80" w:type="dxa"/>
              <w:start w:w="85" w:type="dxa"/>
              <w:bottom w:w="80" w:type="dxa"/>
              <w:end w:w="85" w:type="dxa"/>
            </w:tcMar>
          </w:tcPr>
          <w:p>
            <w:pPr>
              <w:spacing w:before="0" w:after="0" w:line="264" w:lineRule="auto"/>
            </w:pPr>
          </w:p>
        </w:tc>
      </w:tr>
      <w:tr>
        <w:tc>
          <w:tcPr>
            <w:tcW w:type="dxa" w:w="1746"/>
            <w:tcMar>
              <w:top w:w="80" w:type="dxa"/>
              <w:start w:w="85" w:type="dxa"/>
              <w:bottom w:w="80" w:type="dxa"/>
              <w:end w:w="85" w:type="dxa"/>
            </w:tcMar>
          </w:tcPr>
          <w:p>
            <w:pPr>
              <w:spacing w:before="0" w:after="0" w:line="264" w:lineRule="auto"/>
            </w:pPr>
            <w:r>
              <w:rPr>
                <w:rFonts w:ascii="Calibri" w:hAnsi="Calibri"/>
                <w:b/>
                <w:i w:val="0"/>
                <w:color w:val="2C3338"/>
                <w:sz w:val="16"/>
              </w:rPr>
              <w:t>Welfare event records — signal, severity, zone, source, confidence score and acknowledgement. Event states are stored, not video.</w:t>
            </w:r>
          </w:p>
        </w:tc>
        <w:tc>
          <w:tcPr>
            <w:tcW w:type="dxa" w:w="1247"/>
            <w:tcMar>
              <w:top w:w="80" w:type="dxa"/>
              <w:start w:w="85" w:type="dxa"/>
              <w:bottom w:w="80" w:type="dxa"/>
              <w:end w:w="85" w:type="dxa"/>
            </w:tcMar>
          </w:tcPr>
          <w:p>
            <w:pPr>
              <w:spacing w:before="0" w:after="0" w:line="264" w:lineRule="auto"/>
            </w:pPr>
            <w:r>
              <w:rPr>
                <w:rFonts w:ascii="Calibri" w:hAnsi="Calibri"/>
                <w:b w:val="0"/>
                <w:i w:val="0"/>
                <w:color w:val="4B4F58"/>
                <w:sz w:val="16"/>
              </w:rPr>
              <w:t>On-camera analytics via an event relay</w:t>
            </w:r>
          </w:p>
        </w:tc>
        <w:tc>
          <w:tcPr>
            <w:tcW w:type="dxa" w:w="1347"/>
            <w:tcMar>
              <w:top w:w="80" w:type="dxa"/>
              <w:start w:w="85" w:type="dxa"/>
              <w:bottom w:w="80" w:type="dxa"/>
              <w:end w:w="85" w:type="dxa"/>
            </w:tcMar>
          </w:tcPr>
          <w:p>
            <w:pPr>
              <w:spacing w:before="0" w:after="0" w:line="264" w:lineRule="auto"/>
            </w:pPr>
            <w:r>
              <w:rPr>
                <w:rFonts w:ascii="Calibri" w:hAnsi="Calibri"/>
                <w:b w:val="0"/>
                <w:i w:val="0"/>
                <w:color w:val="4B4F58"/>
                <w:sz w:val="16"/>
              </w:rPr>
              <w:t>Yes, where an event concerns an identifiable person or triggers action</w:t>
            </w:r>
          </w:p>
        </w:tc>
        <w:tc>
          <w:tcPr>
            <w:tcW w:type="dxa" w:w="998"/>
            <w:tcMar>
              <w:top w:w="80" w:type="dxa"/>
              <w:start w:w="85" w:type="dxa"/>
              <w:bottom w:w="80" w:type="dxa"/>
              <w:end w:w="85" w:type="dxa"/>
            </w:tcMar>
          </w:tcPr>
          <w:p>
            <w:pPr>
              <w:spacing w:before="0" w:after="0" w:line="264" w:lineRule="auto"/>
            </w:pPr>
            <w:r>
              <w:rPr>
                <w:rFonts w:ascii="Calibri" w:hAnsi="Calibri"/>
                <w:b w:val="0"/>
                <w:i w:val="0"/>
                <w:color w:val="4B4F58"/>
                <w:sz w:val="16"/>
              </w:rPr>
              <w:t>On camera, then cloud</w:t>
            </w:r>
          </w:p>
        </w:tc>
        <w:tc>
          <w:tcPr>
            <w:tcW w:type="dxa" w:w="1098"/>
            <w:tcMar>
              <w:top w:w="80" w:type="dxa"/>
              <w:start w:w="85" w:type="dxa"/>
              <w:bottom w:w="80" w:type="dxa"/>
              <w:end w:w="85" w:type="dxa"/>
            </w:tcMar>
          </w:tcPr>
          <w:p>
            <w:pPr>
              <w:spacing w:before="0" w:after="0" w:line="264" w:lineRule="auto"/>
            </w:pPr>
            <w:r>
              <w:rPr>
                <w:rFonts w:ascii="Calibri" w:hAnsi="Calibri"/>
                <w:b w:val="0"/>
                <w:i w:val="0"/>
                <w:color w:val="4B4F58"/>
                <w:sz w:val="16"/>
              </w:rPr>
              <w:t>Separate welfare event table</w:t>
            </w:r>
          </w:p>
        </w:tc>
        <w:tc>
          <w:tcPr>
            <w:tcW w:type="dxa" w:w="998"/>
            <w:shd w:val="clear" w:color="auto" w:fill="F2F6FA"/>
            <w:tcMar>
              <w:top w:w="80" w:type="dxa"/>
              <w:start w:w="85" w:type="dxa"/>
              <w:bottom w:w="80" w:type="dxa"/>
              <w:end w:w="85" w:type="dxa"/>
            </w:tcMar>
          </w:tcPr>
          <w:p>
            <w:pPr>
              <w:spacing w:before="0" w:after="0" w:line="264" w:lineRule="auto"/>
            </w:pPr>
          </w:p>
        </w:tc>
        <w:tc>
          <w:tcPr>
            <w:tcW w:type="dxa" w:w="1547"/>
            <w:tcMar>
              <w:top w:w="80" w:type="dxa"/>
              <w:start w:w="85" w:type="dxa"/>
              <w:bottom w:w="80" w:type="dxa"/>
              <w:end w:w="85" w:type="dxa"/>
            </w:tcMar>
          </w:tcPr>
          <w:p>
            <w:pPr>
              <w:spacing w:before="0" w:after="0" w:line="264" w:lineRule="auto"/>
            </w:pPr>
            <w:r>
              <w:rPr>
                <w:rFonts w:ascii="Calibri" w:hAnsi="Calibri"/>
                <w:b w:val="0"/>
                <w:i w:val="0"/>
                <w:color w:val="4B4F58"/>
                <w:sz w:val="16"/>
              </w:rPr>
              <w:t>Control room, safety team</w:t>
            </w:r>
          </w:p>
        </w:tc>
        <w:tc>
          <w:tcPr>
            <w:tcW w:type="dxa" w:w="998"/>
            <w:shd w:val="clear" w:color="auto" w:fill="F2F6FA"/>
            <w:tcMar>
              <w:top w:w="80" w:type="dxa"/>
              <w:start w:w="85" w:type="dxa"/>
              <w:bottom w:w="80" w:type="dxa"/>
              <w:end w:w="85" w:type="dxa"/>
            </w:tcMar>
          </w:tcPr>
          <w:p>
            <w:pPr>
              <w:spacing w:before="0" w:after="0" w:line="264" w:lineRule="auto"/>
            </w:pPr>
          </w:p>
        </w:tc>
      </w:tr>
      <w:tr>
        <w:tc>
          <w:tcPr>
            <w:tcW w:type="dxa" w:w="174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On-board CCTV footage, where brought into scope</w:t>
            </w:r>
          </w:p>
        </w:tc>
        <w:tc>
          <w:tcPr>
            <w:tcW w:type="dxa" w:w="1247"/>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Existing CCTV system</w:t>
            </w:r>
          </w:p>
        </w:tc>
        <w:tc>
          <w:tcPr>
            <w:tcW w:type="dxa" w:w="1347"/>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Yes</w:t>
            </w:r>
          </w:p>
        </w:tc>
        <w:tc>
          <w:tcPr>
            <w:tcW w:type="dxa" w:w="9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On vehicle, remote viewing where enabled</w:t>
            </w:r>
          </w:p>
        </w:tc>
        <w:tc>
          <w:tcPr>
            <w:tcW w:type="dxa" w:w="10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CCTV recorder or CCTV supplier platform</w:t>
            </w:r>
          </w:p>
        </w:tc>
        <w:tc>
          <w:tcPr>
            <w:tcW w:type="dxa" w:w="998"/>
            <w:shd w:val="clear" w:color="auto" w:fill="F2F6FA"/>
            <w:tcMar>
              <w:top w:w="80" w:type="dxa"/>
              <w:start w:w="85" w:type="dxa"/>
              <w:bottom w:w="80" w:type="dxa"/>
              <w:end w:w="85" w:type="dxa"/>
            </w:tcMar>
          </w:tcPr>
          <w:p>
            <w:pPr>
              <w:spacing w:before="0" w:after="0" w:line="264" w:lineRule="auto"/>
            </w:pPr>
          </w:p>
        </w:tc>
        <w:tc>
          <w:tcPr>
            <w:tcW w:type="dxa" w:w="1547"/>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Named reviewers, police on lawful request</w:t>
            </w:r>
          </w:p>
        </w:tc>
        <w:tc>
          <w:tcPr>
            <w:tcW w:type="dxa" w:w="998"/>
            <w:shd w:val="clear" w:color="auto" w:fill="F2F6FA"/>
            <w:tcMar>
              <w:top w:w="80" w:type="dxa"/>
              <w:start w:w="85" w:type="dxa"/>
              <w:bottom w:w="80" w:type="dxa"/>
              <w:end w:w="85" w:type="dxa"/>
            </w:tcMar>
          </w:tcPr>
          <w:p>
            <w:pPr>
              <w:spacing w:before="0" w:after="0" w:line="264" w:lineRule="auto"/>
            </w:pPr>
          </w:p>
        </w:tc>
      </w:tr>
      <w:tr>
        <w:tc>
          <w:tcPr>
            <w:tcW w:type="dxa" w:w="1746"/>
            <w:tcMar>
              <w:top w:w="80" w:type="dxa"/>
              <w:start w:w="85" w:type="dxa"/>
              <w:bottom w:w="80" w:type="dxa"/>
              <w:end w:w="85" w:type="dxa"/>
            </w:tcMar>
          </w:tcPr>
          <w:p>
            <w:pPr>
              <w:spacing w:before="0" w:after="0" w:line="264" w:lineRule="auto"/>
            </w:pPr>
            <w:r>
              <w:rPr>
                <w:rFonts w:ascii="Calibri" w:hAnsi="Calibri"/>
                <w:b/>
                <w:i w:val="0"/>
                <w:color w:val="2C3338"/>
                <w:sz w:val="16"/>
              </w:rPr>
              <w:t>Staff dashboard accounts and access logs</w:t>
            </w:r>
          </w:p>
        </w:tc>
        <w:tc>
          <w:tcPr>
            <w:tcW w:type="dxa" w:w="1247"/>
            <w:tcMar>
              <w:top w:w="80" w:type="dxa"/>
              <w:start w:w="85" w:type="dxa"/>
              <w:bottom w:w="80" w:type="dxa"/>
              <w:end w:w="85" w:type="dxa"/>
            </w:tcMar>
          </w:tcPr>
          <w:p>
            <w:pPr>
              <w:spacing w:before="0" w:after="0" w:line="264" w:lineRule="auto"/>
            </w:pPr>
            <w:r>
              <w:rPr>
                <w:rFonts w:ascii="Calibri" w:hAnsi="Calibri"/>
                <w:b w:val="0"/>
                <w:i w:val="0"/>
                <w:color w:val="4B4F58"/>
                <w:sz w:val="16"/>
              </w:rPr>
              <w:t>Platform admin</w:t>
            </w:r>
          </w:p>
        </w:tc>
        <w:tc>
          <w:tcPr>
            <w:tcW w:type="dxa" w:w="1347"/>
            <w:noWrap/>
            <w:tcMar>
              <w:top w:w="80" w:type="dxa"/>
              <w:start w:w="85" w:type="dxa"/>
              <w:bottom w:w="80" w:type="dxa"/>
              <w:end w:w="85" w:type="dxa"/>
            </w:tcMar>
          </w:tcPr>
          <w:p>
            <w:pPr>
              <w:spacing w:before="0" w:after="0" w:line="264" w:lineRule="auto"/>
            </w:pPr>
            <w:r>
              <w:rPr>
                <w:rFonts w:ascii="Calibri" w:hAnsi="Calibri"/>
                <w:b w:val="0"/>
                <w:i w:val="0"/>
                <w:color w:val="4B4F58"/>
                <w:sz w:val="16"/>
              </w:rPr>
              <w:t>Yes</w:t>
            </w:r>
          </w:p>
        </w:tc>
        <w:tc>
          <w:tcPr>
            <w:tcW w:type="dxa" w:w="998"/>
            <w:tcMar>
              <w:top w:w="80" w:type="dxa"/>
              <w:start w:w="85" w:type="dxa"/>
              <w:bottom w:w="80" w:type="dxa"/>
              <w:end w:w="85" w:type="dxa"/>
            </w:tcMar>
          </w:tcPr>
          <w:p>
            <w:pPr>
              <w:spacing w:before="0" w:after="0" w:line="264" w:lineRule="auto"/>
            </w:pPr>
            <w:r>
              <w:rPr>
                <w:rFonts w:ascii="Calibri" w:hAnsi="Calibri"/>
                <w:b w:val="0"/>
                <w:i w:val="0"/>
                <w:color w:val="4B4F58"/>
                <w:sz w:val="16"/>
              </w:rPr>
              <w:t>Cloud</w:t>
            </w:r>
          </w:p>
        </w:tc>
        <w:tc>
          <w:tcPr>
            <w:tcW w:type="dxa" w:w="1098"/>
            <w:tcMar>
              <w:top w:w="80" w:type="dxa"/>
              <w:start w:w="85" w:type="dxa"/>
              <w:bottom w:w="80" w:type="dxa"/>
              <w:end w:w="85" w:type="dxa"/>
            </w:tcMar>
          </w:tcPr>
          <w:p>
            <w:pPr>
              <w:spacing w:before="0" w:after="0" w:line="264" w:lineRule="auto"/>
            </w:pPr>
            <w:r>
              <w:rPr>
                <w:rFonts w:ascii="Calibri" w:hAnsi="Calibri"/>
                <w:b w:val="0"/>
                <w:i w:val="0"/>
                <w:color w:val="4B4F58"/>
                <w:sz w:val="16"/>
              </w:rPr>
              <w:t>Platform database</w:t>
            </w:r>
          </w:p>
        </w:tc>
        <w:tc>
          <w:tcPr>
            <w:tcW w:type="dxa" w:w="998"/>
            <w:shd w:val="clear" w:color="auto" w:fill="F2F6FA"/>
            <w:tcMar>
              <w:top w:w="80" w:type="dxa"/>
              <w:start w:w="85" w:type="dxa"/>
              <w:bottom w:w="80" w:type="dxa"/>
              <w:end w:w="85" w:type="dxa"/>
            </w:tcMar>
          </w:tcPr>
          <w:p>
            <w:pPr>
              <w:spacing w:before="0" w:after="0" w:line="264" w:lineRule="auto"/>
            </w:pPr>
          </w:p>
        </w:tc>
        <w:tc>
          <w:tcPr>
            <w:tcW w:type="dxa" w:w="1547"/>
            <w:tcMar>
              <w:top w:w="80" w:type="dxa"/>
              <w:start w:w="85" w:type="dxa"/>
              <w:bottom w:w="80" w:type="dxa"/>
              <w:end w:w="85" w:type="dxa"/>
            </w:tcMar>
          </w:tcPr>
          <w:p>
            <w:pPr>
              <w:spacing w:before="0" w:after="0" w:line="264" w:lineRule="auto"/>
            </w:pPr>
            <w:r>
              <w:rPr>
                <w:rFonts w:ascii="Calibri" w:hAnsi="Calibri"/>
                <w:b w:val="0"/>
                <w:i w:val="0"/>
                <w:color w:val="4B4F58"/>
                <w:sz w:val="16"/>
              </w:rPr>
              <w:t>Operator admins, supplier support</w:t>
            </w:r>
          </w:p>
        </w:tc>
        <w:tc>
          <w:tcPr>
            <w:tcW w:type="dxa" w:w="998"/>
            <w:shd w:val="clear" w:color="auto" w:fill="F2F6FA"/>
            <w:tcMar>
              <w:top w:w="80" w:type="dxa"/>
              <w:start w:w="85" w:type="dxa"/>
              <w:bottom w:w="80" w:type="dxa"/>
              <w:end w:w="85" w:type="dxa"/>
            </w:tcMar>
          </w:tcPr>
          <w:p>
            <w:pPr>
              <w:spacing w:before="0" w:after="0" w:line="264" w:lineRule="auto"/>
            </w:pPr>
          </w:p>
        </w:tc>
      </w:tr>
      <w:tr>
        <w:tc>
          <w:tcPr>
            <w:tcW w:type="dxa" w:w="174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Exports and reports generated by users</w:t>
            </w:r>
          </w:p>
        </w:tc>
        <w:tc>
          <w:tcPr>
            <w:tcW w:type="dxa" w:w="1247"/>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Dashboard</w:t>
            </w:r>
          </w:p>
        </w:tc>
        <w:tc>
          <w:tcPr>
            <w:tcW w:type="dxa" w:w="1347"/>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Depends on content</w:t>
            </w:r>
          </w:p>
        </w:tc>
        <w:tc>
          <w:tcPr>
            <w:tcW w:type="dxa" w:w="9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Cloud, then user device</w:t>
            </w:r>
          </w:p>
        </w:tc>
        <w:tc>
          <w:tcPr>
            <w:tcW w:type="dxa" w:w="10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Operator systems</w:t>
            </w:r>
          </w:p>
        </w:tc>
        <w:tc>
          <w:tcPr>
            <w:tcW w:type="dxa" w:w="998"/>
            <w:shd w:val="clear" w:color="auto" w:fill="F2F6FA"/>
            <w:tcMar>
              <w:top w:w="80" w:type="dxa"/>
              <w:start w:w="85" w:type="dxa"/>
              <w:bottom w:w="80" w:type="dxa"/>
              <w:end w:w="85" w:type="dxa"/>
            </w:tcMar>
          </w:tcPr>
          <w:p>
            <w:pPr>
              <w:spacing w:before="0" w:after="0" w:line="264" w:lineRule="auto"/>
            </w:pPr>
          </w:p>
        </w:tc>
        <w:tc>
          <w:tcPr>
            <w:tcW w:type="dxa" w:w="1547"/>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As distributed by the operator</w:t>
            </w:r>
          </w:p>
        </w:tc>
        <w:tc>
          <w:tcPr>
            <w:tcW w:type="dxa" w:w="998"/>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tbl>
      <w:tblPr>
        <w:tblW w:type="auto" w:w="0"/>
        <w:tblBorders>
          <w:top w:val="single" w:sz="6" w:space="0" w:color="DCE3EA"/>
          <w:left w:val="single" w:sz="6" w:space="0" w:color="DCE3EA"/>
          <w:bottom w:val="single" w:sz="6" w:space="0" w:color="DCE3EA"/>
          <w:right w:val="single" w:sz="6" w:space="0" w:color="DCE3EA"/>
        </w:tblBorders>
        <w:tblLayout w:type="fixed"/>
        <w:tblLook w:firstColumn="1" w:firstRow="1" w:lastColumn="0" w:lastRow="0" w:noHBand="0" w:noVBand="1" w:val="04A0"/>
      </w:tblPr>
      <w:tblGrid>
        <w:gridCol w:w="9978"/>
      </w:tblGrid>
      <w:tr>
        <w:tc>
          <w:tcPr>
            <w:tcW w:type="dxa" w:w="9978"/>
            <w:shd w:val="clear" w:color="auto" w:fill="F4F7FA"/>
            <w:tcMar>
              <w:top w:w="130" w:type="dxa"/>
              <w:start w:w="160" w:type="dxa"/>
              <w:bottom w:w="130" w:type="dxa"/>
              <w:end w:w="160" w:type="dxa"/>
            </w:tcMar>
          </w:tcPr>
          <w:p>
            <w:pPr>
              <w:spacing w:before="0" w:after="60" w:line="264" w:lineRule="auto"/>
            </w:pPr>
            <w:r>
              <w:rPr>
                <w:rFonts w:ascii="Calibri" w:hAnsi="Calibri"/>
                <w:b/>
                <w:i w:val="0"/>
                <w:color w:val="03273F"/>
                <w:sz w:val="20"/>
              </w:rPr>
              <w:t>A design property, not an inherent guarantee</w:t>
            </w:r>
          </w:p>
          <w:p>
            <w:pPr>
              <w:spacing w:before="0" w:after="60" w:line="283" w:lineRule="auto"/>
            </w:pPr>
            <w:r>
              <w:rPr>
                <w:rFonts w:ascii="Calibri" w:hAnsi="Calibri"/>
                <w:b w:val="0"/>
                <w:i w:val="0"/>
                <w:color w:val="2C3338"/>
                <w:sz w:val="18"/>
              </w:rPr>
              <w:t>In the counting path of the architecture described above, no image, face template or passenger device identifier leaves the vehicle. That is a property of how the sensors and the ingest chain are configured — it is not an inherent property of passenger counting, and it is not a property you should take on trust. Verify it in your deployment: inspect the device output, the broker topics and the stored record schema, and record the evidence. If a camera with image output is fitted to the same vehicle for any purpose, the statement no longer describes the vehicle as a whole.</w:t>
            </w:r>
          </w:p>
        </w:tc>
      </w:tr>
    </w:tbl>
    <w:p>
      <w:pPr>
        <w:spacing w:before="0" w:after="80" w:line="240" w:lineRule="auto"/>
      </w:pPr>
    </w:p>
    <w:p>
      <w:pPr>
        <w:keepNext/>
        <w:spacing w:before="180" w:after="60" w:line="264" w:lineRule="auto"/>
      </w:pPr>
      <w:r>
        <w:rPr>
          <w:rFonts w:ascii="Calibri" w:hAnsi="Calibri"/>
          <w:b/>
          <w:i w:val="0"/>
          <w:color w:val="03273F"/>
          <w:sz w:val="24"/>
        </w:rPr>
        <w:t>2.4 Scale, geography and duration</w:t>
      </w:r>
    </w:p>
    <w:tbl>
      <w:tblPr>
        <w:tblW w:type="auto" w:w="0"/>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4989"/>
        <w:gridCol w:w="4989"/>
      </w:tblGrid>
      <w:tr>
        <w:trPr>
          <w:cantSplit/>
        </w:trPr>
        <w:tc>
          <w:tcPr>
            <w:tcW w:type="dxa" w:w="4989"/>
            <w:tcMar>
              <w:top w:w="0" w:type="dxa"/>
              <w:start w:w="0" w:type="dxa"/>
              <w:bottom w:w="0" w:type="dxa"/>
              <w:end w:w="110" w:type="dxa"/>
            </w:tcMar>
          </w:tcPr>
          <w:p>
            <w:pPr>
              <w:keepNext/>
              <w:spacing w:before="0" w:after="20" w:line="240" w:lineRule="auto"/>
            </w:pPr>
            <w:r>
              <w:rPr>
                <w:rFonts w:ascii="Calibri" w:hAnsi="Calibri"/>
                <w:b/>
                <w:i w:val="0"/>
                <w:color w:val="19455E"/>
                <w:sz w:val="16"/>
              </w:rPr>
              <w:t>Number of vehicles in scope</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c>
          <w:tcPr>
            <w:tcW w:type="dxa" w:w="4989"/>
            <w:tcMar>
              <w:top w:w="0" w:type="dxa"/>
              <w:start w:w="0" w:type="dxa"/>
              <w:bottom w:w="0" w:type="dxa"/>
              <w:end w:w="0" w:type="dxa"/>
            </w:tcMar>
          </w:tcPr>
          <w:p>
            <w:pPr>
              <w:keepNext/>
              <w:spacing w:before="0" w:after="20" w:line="240" w:lineRule="auto"/>
            </w:pPr>
            <w:r>
              <w:rPr>
                <w:rFonts w:ascii="Calibri" w:hAnsi="Calibri"/>
                <w:b/>
                <w:i w:val="0"/>
                <w:color w:val="19455E"/>
                <w:sz w:val="16"/>
              </w:rPr>
              <w:t>Number of routes or services</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r>
    </w:tbl>
    <w:p>
      <w:pPr>
        <w:spacing w:before="0" w:after="80" w:line="240" w:lineRule="auto"/>
      </w:pPr>
    </w:p>
    <w:tbl>
      <w:tblPr>
        <w:tblW w:type="auto" w:w="0"/>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4989"/>
        <w:gridCol w:w="4989"/>
      </w:tblGrid>
      <w:tr>
        <w:trPr>
          <w:cantSplit/>
        </w:trPr>
        <w:tc>
          <w:tcPr>
            <w:tcW w:type="dxa" w:w="4989"/>
            <w:tcMar>
              <w:top w:w="0" w:type="dxa"/>
              <w:start w:w="0" w:type="dxa"/>
              <w:bottom w:w="0" w:type="dxa"/>
              <w:end w:w="110" w:type="dxa"/>
            </w:tcMar>
          </w:tcPr>
          <w:p>
            <w:pPr>
              <w:keepNext/>
              <w:spacing w:before="0" w:after="20" w:line="240" w:lineRule="auto"/>
            </w:pPr>
            <w:r>
              <w:rPr>
                <w:rFonts w:ascii="Calibri" w:hAnsi="Calibri"/>
                <w:b/>
                <w:i w:val="0"/>
                <w:color w:val="19455E"/>
                <w:sz w:val="16"/>
              </w:rPr>
              <w:t>Estimated passenger journeys per year</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c>
          <w:tcPr>
            <w:tcW w:type="dxa" w:w="4989"/>
            <w:tcMar>
              <w:top w:w="0" w:type="dxa"/>
              <w:start w:w="0" w:type="dxa"/>
              <w:bottom w:w="0" w:type="dxa"/>
              <w:end w:w="0" w:type="dxa"/>
            </w:tcMar>
          </w:tcPr>
          <w:p>
            <w:pPr>
              <w:keepNext/>
              <w:spacing w:before="0" w:after="20" w:line="240" w:lineRule="auto"/>
            </w:pPr>
            <w:r>
              <w:rPr>
                <w:rFonts w:ascii="Calibri" w:hAnsi="Calibri"/>
                <w:b/>
                <w:i w:val="0"/>
                <w:color w:val="19455E"/>
                <w:sz w:val="16"/>
              </w:rPr>
              <w:t>Hours of operation</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r>
    </w:tbl>
    <w:p>
      <w:pPr>
        <w:spacing w:before="0" w:after="80" w:line="240" w:lineRule="auto"/>
      </w:pPr>
    </w:p>
    <w:tbl>
      <w:tblPr>
        <w:tblW w:type="auto" w:w="0"/>
        <w:tblBorders>
          <w:top w:val="none"/>
          <w:left w:val="none"/>
          <w:bottom w:val="none"/>
          <w:right w:val="none"/>
          <w:insideH w:val="none"/>
          <w:insideV w:val="none"/>
        </w:tblBorders>
        <w:tblLayout w:type="fixed"/>
        <w:tblLook w:firstColumn="1" w:firstRow="1" w:lastColumn="0" w:lastRow="0" w:noHBand="0" w:noVBand="1" w:val="04A0"/>
      </w:tblPr>
      <w:tblGrid>
        <w:gridCol w:w="9978"/>
      </w:tblGrid>
      <w:tr>
        <w:trPr>
          <w:cantSplit/>
        </w:trPr>
        <w:tc>
          <w:tcPr>
            <w:tcW w:type="dxa" w:w="9978"/>
            <w:tcMar>
              <w:top w:w="20" w:type="dxa"/>
              <w:start w:w="20" w:type="dxa"/>
              <w:bottom w:w="20" w:type="dxa"/>
              <w:end w:w="20" w:type="dxa"/>
            </w:tcMar>
          </w:tcPr>
          <w:p>
            <w:pPr>
              <w:keepNext/>
              <w:spacing w:before="0" w:after="20" w:line="240" w:lineRule="auto"/>
            </w:pPr>
            <w:r>
              <w:rPr>
                <w:rFonts w:ascii="Calibri" w:hAnsi="Calibri"/>
                <w:b/>
                <w:i w:val="0"/>
                <w:color w:val="19455E"/>
                <w:sz w:val="16"/>
              </w:rPr>
              <w:t>Geographical coverage and any services with a higher proportion of vulnerable passengers</w:t>
            </w:r>
          </w:p>
        </w:tc>
      </w:tr>
      <w:tr>
        <w:trPr>
          <w:cantSplit/>
        </w:trPr>
        <w:tc>
          <w:tcPr>
            <w:tcW w:type="dxa" w:w="9978"/>
            <w:tcBorders>
              <w:top w:val="single" w:sz="6" w:color="C9CFD6"/>
              <w:left w:val="single" w:sz="6" w:color="C9CFD6"/>
              <w:bottom w:val="single" w:sz="6" w:color="C9CFD6"/>
              <w:right w:val="single" w:sz="6" w:color="C9CFD6"/>
            </w:tcBorders>
            <w:shd w:val="clear" w:color="auto" w:fill="F2F6FA"/>
            <w:tcMar>
              <w:top w:w="60" w:type="dxa"/>
              <w:start w:w="90" w:type="dxa"/>
              <w:bottom w:w="60" w:type="dxa"/>
              <w:end w:w="90" w:type="dxa"/>
            </w:tcMar>
          </w:tcPr>
          <w:p>
            <w:pPr>
              <w:keepNext/>
              <w:spacing w:before="0" w:after="0" w:line="300" w:lineRule="auto"/>
            </w:pPr>
            <w:r>
              <w:rPr>
                <w:sz w:val="19"/>
              </w:rPr>
            </w:r>
          </w:p>
          <w:p>
            <w:pPr>
              <w:keepNext/>
              <w:spacing w:before="0" w:after="0" w:line="300" w:lineRule="auto"/>
            </w:pPr>
            <w:r>
              <w:rPr>
                <w:sz w:val="19"/>
              </w:rPr>
            </w:r>
          </w:p>
        </w:tc>
      </w:tr>
    </w:tbl>
    <w:tbl>
      <w:tblPr>
        <w:tblW w:type="auto" w:w="0"/>
        <w:tblBorders>
          <w:top w:val="none"/>
          <w:left w:val="none"/>
          <w:bottom w:val="none"/>
          <w:right w:val="none"/>
          <w:insideH w:val="none"/>
          <w:insideV w:val="none"/>
        </w:tblBorders>
        <w:tblLayout w:type="fixed"/>
        <w:tblLook w:firstColumn="1" w:firstRow="1" w:lastColumn="0" w:lastRow="0" w:noHBand="0" w:noVBand="1" w:val="04A0"/>
      </w:tblPr>
      <w:tblGrid>
        <w:gridCol w:w="9978"/>
      </w:tblGrid>
      <w:tr>
        <w:trPr>
          <w:cantSplit/>
        </w:trPr>
        <w:tc>
          <w:tcPr>
            <w:tcW w:type="dxa" w:w="9978"/>
            <w:tcMar>
              <w:top w:w="20" w:type="dxa"/>
              <w:start w:w="20" w:type="dxa"/>
              <w:bottom w:w="20" w:type="dxa"/>
              <w:end w:w="20" w:type="dxa"/>
            </w:tcMar>
          </w:tcPr>
          <w:p>
            <w:pPr>
              <w:keepNext/>
              <w:spacing w:before="0" w:after="20" w:line="240" w:lineRule="auto"/>
            </w:pPr>
            <w:r>
              <w:rPr>
                <w:rFonts w:ascii="Calibri" w:hAnsi="Calibri"/>
                <w:b/>
                <w:i w:val="0"/>
                <w:color w:val="19455E"/>
                <w:sz w:val="16"/>
              </w:rPr>
              <w:t>Duration: pilot period, contract term, and the date processing is intended to start</w:t>
            </w:r>
          </w:p>
        </w:tc>
      </w:tr>
      <w:tr>
        <w:trPr>
          <w:cantSplit/>
        </w:trPr>
        <w:tc>
          <w:tcPr>
            <w:tcW w:type="dxa" w:w="9978"/>
            <w:tcBorders>
              <w:top w:val="single" w:sz="6" w:color="C9CFD6"/>
              <w:left w:val="single" w:sz="6" w:color="C9CFD6"/>
              <w:bottom w:val="single" w:sz="6" w:color="C9CFD6"/>
              <w:right w:val="single" w:sz="6" w:color="C9CFD6"/>
            </w:tcBorders>
            <w:shd w:val="clear" w:color="auto" w:fill="F2F6FA"/>
            <w:tcMar>
              <w:top w:w="60" w:type="dxa"/>
              <w:start w:w="90" w:type="dxa"/>
              <w:bottom w:w="60" w:type="dxa"/>
              <w:end w:w="90" w:type="dxa"/>
            </w:tcMar>
          </w:tcPr>
          <w:p>
            <w:pPr>
              <w:keepNext/>
              <w:spacing w:before="0" w:after="0" w:line="300" w:lineRule="auto"/>
            </w:pPr>
            <w:r>
              <w:rPr>
                <w:sz w:val="19"/>
              </w:rPr>
            </w:r>
          </w:p>
          <w:p>
            <w:pPr>
              <w:keepNext/>
              <w:spacing w:before="0" w:after="0" w:line="300" w:lineRule="auto"/>
            </w:pPr>
            <w:r>
              <w:rPr>
                <w:sz w:val="19"/>
              </w:rPr>
            </w:r>
          </w:p>
        </w:tc>
      </w:tr>
    </w:tbl>
    <w:tbl>
      <w:tblPr>
        <w:tblW w:type="auto" w:w="0"/>
        <w:jc w:val="left"/>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9978"/>
      </w:tblGrid>
      <w:tr>
        <w:trPr>
          <w:cantSplit/>
        </w:trPr>
        <w:tc>
          <w:tcPr>
            <w:tcW w:type="dxa" w:w="9978"/>
            <w:shd w:val="clear" w:color="auto" w:fill="03273F"/>
            <w:tcMar>
              <w:top w:w="150" w:type="dxa"/>
              <w:start w:w="170" w:type="dxa"/>
              <w:bottom w:w="150" w:type="dxa"/>
              <w:end w:w="170" w:type="dxa"/>
            </w:tcMar>
          </w:tcPr>
          <w:p>
            <w:pPr>
              <w:keepNext/>
              <w:spacing w:before="0" w:after="0" w:line="264" w:lineRule="auto"/>
            </w:pPr>
            <w:r>
              <w:rPr>
                <w:rFonts w:ascii="Calibri" w:hAnsi="Calibri"/>
                <w:b/>
                <w:color w:val="FFFFFF"/>
                <w:sz w:val="30"/>
              </w:rPr>
              <w:t>Step 3 — Necessity and proportionality</w:t>
            </w:r>
          </w:p>
        </w:tc>
      </w:tr>
    </w:tbl>
    <w:p>
      <w:pPr>
        <w:keepNext/>
        <w:spacing w:before="0" w:after="60" w:line="240" w:lineRule="auto"/>
      </w:pPr>
    </w:p>
    <w:p>
      <w:pPr>
        <w:spacing w:before="0" w:after="100" w:line="283" w:lineRule="auto"/>
      </w:pPr>
      <w:r>
        <w:rPr>
          <w:rFonts w:ascii="Calibri" w:hAnsi="Calibri"/>
          <w:b w:val="0"/>
          <w:i w:val="0"/>
          <w:color w:val="4B4F58"/>
          <w:sz w:val="19"/>
        </w:rPr>
        <w:t>The question here is not whether the technology works. It is whether this processing is a necessary and proportionate way to achieve the stated purpose, and whether a less intrusive option would achieve it well enough.</w:t>
      </w:r>
    </w:p>
    <w:p>
      <w:pPr>
        <w:keepNext/>
        <w:spacing w:before="180" w:after="60" w:line="264" w:lineRule="auto"/>
      </w:pPr>
      <w:r>
        <w:rPr>
          <w:rFonts w:ascii="Calibri" w:hAnsi="Calibri"/>
          <w:b/>
          <w:i w:val="0"/>
          <w:color w:val="03273F"/>
          <w:sz w:val="24"/>
        </w:rPr>
        <w:t>3.1 Alternatives considered</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1896"/>
        <w:gridCol w:w="2694"/>
        <w:gridCol w:w="2694"/>
        <w:gridCol w:w="2694"/>
      </w:tblGrid>
      <w:tr>
        <w:trPr>
          <w:tblHeader w:val="true"/>
        </w:trPr>
        <w:tc>
          <w:tcPr>
            <w:tcW w:type="dxa" w:w="1896"/>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Option</w:t>
            </w:r>
          </w:p>
        </w:tc>
        <w:tc>
          <w:tcPr>
            <w:tcW w:type="dxa" w:w="2694"/>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What it gives you</w:t>
            </w:r>
          </w:p>
        </w:tc>
        <w:tc>
          <w:tcPr>
            <w:tcW w:type="dxa" w:w="2694"/>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Limitations</w:t>
            </w:r>
          </w:p>
        </w:tc>
        <w:tc>
          <w:tcPr>
            <w:tcW w:type="dxa" w:w="2694"/>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Privacy intrusion</w:t>
            </w:r>
          </w:p>
        </w:tc>
      </w:tr>
      <w:tr>
        <w:tc>
          <w:tcPr>
            <w:tcW w:type="dxa" w:w="1896"/>
            <w:tcMar>
              <w:top w:w="80" w:type="dxa"/>
              <w:start w:w="85" w:type="dxa"/>
              <w:bottom w:w="80" w:type="dxa"/>
              <w:end w:w="85" w:type="dxa"/>
            </w:tcMar>
          </w:tcPr>
          <w:p>
            <w:pPr>
              <w:spacing w:before="0" w:after="0" w:line="264" w:lineRule="auto"/>
            </w:pPr>
            <w:r>
              <w:rPr>
                <w:rFonts w:ascii="Calibri" w:hAnsi="Calibri"/>
                <w:b/>
                <w:i w:val="0"/>
                <w:color w:val="2C3338"/>
                <w:sz w:val="16"/>
              </w:rPr>
              <w:t>Manual ride checks</w:t>
            </w:r>
          </w:p>
        </w:tc>
        <w:tc>
          <w:tcPr>
            <w:tcW w:type="dxa" w:w="2694"/>
            <w:tcMar>
              <w:top w:w="80" w:type="dxa"/>
              <w:start w:w="85" w:type="dxa"/>
              <w:bottom w:w="80" w:type="dxa"/>
              <w:end w:w="85" w:type="dxa"/>
            </w:tcMar>
          </w:tcPr>
          <w:p>
            <w:pPr>
              <w:spacing w:before="0" w:after="0" w:line="264" w:lineRule="auto"/>
            </w:pPr>
            <w:r>
              <w:rPr>
                <w:rFonts w:ascii="Calibri" w:hAnsi="Calibri"/>
                <w:b w:val="0"/>
                <w:i w:val="0"/>
                <w:color w:val="4B4F58"/>
                <w:sz w:val="16"/>
              </w:rPr>
              <w:t>Direct human observation; a recognised reference method and the basis for validating any automatic system.</w:t>
            </w:r>
          </w:p>
        </w:tc>
        <w:tc>
          <w:tcPr>
            <w:tcW w:type="dxa" w:w="2694"/>
            <w:tcMar>
              <w:top w:w="80" w:type="dxa"/>
              <w:start w:w="85" w:type="dxa"/>
              <w:bottom w:w="80" w:type="dxa"/>
              <w:end w:w="85" w:type="dxa"/>
            </w:tcMar>
          </w:tcPr>
          <w:p>
            <w:pPr>
              <w:spacing w:before="0" w:after="0" w:line="264" w:lineRule="auto"/>
            </w:pPr>
            <w:r>
              <w:rPr>
                <w:rFonts w:ascii="Calibri" w:hAnsi="Calibri"/>
                <w:b w:val="0"/>
                <w:i w:val="0"/>
                <w:color w:val="4B4F58"/>
                <w:sz w:val="16"/>
              </w:rPr>
              <w:t>Expensive and sampled. Cannot give continuous coverage by stop and hour across a fleet, so planning rests on extrapolation from a small sample.</w:t>
            </w:r>
          </w:p>
        </w:tc>
        <w:tc>
          <w:tcPr>
            <w:tcW w:type="dxa" w:w="2694"/>
            <w:tcMar>
              <w:top w:w="80" w:type="dxa"/>
              <w:start w:w="85" w:type="dxa"/>
              <w:bottom w:w="80" w:type="dxa"/>
              <w:end w:w="85" w:type="dxa"/>
            </w:tcMar>
          </w:tcPr>
          <w:p>
            <w:pPr>
              <w:spacing w:before="0" w:after="0" w:line="264" w:lineRule="auto"/>
            </w:pPr>
            <w:r>
              <w:rPr>
                <w:rFonts w:ascii="Calibri" w:hAnsi="Calibri"/>
                <w:b w:val="0"/>
                <w:i w:val="0"/>
                <w:color w:val="4B4F58"/>
                <w:sz w:val="16"/>
              </w:rPr>
              <w:t>Low for data protection, though a surveyor is physically present and observes passengers directly.</w:t>
            </w:r>
          </w:p>
        </w:tc>
      </w:tr>
      <w:tr>
        <w:tc>
          <w:tcPr>
            <w:tcW w:type="dxa" w:w="189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Ticketing-derived estimates</w:t>
            </w:r>
          </w:p>
        </w:tc>
        <w:tc>
          <w:tcPr>
            <w:tcW w:type="dxa" w:w="2694"/>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Uses data you already hold; no new hardware.</w:t>
            </w:r>
          </w:p>
        </w:tc>
        <w:tc>
          <w:tcPr>
            <w:tcW w:type="dxa" w:w="2694"/>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Systematically misses concessionary, pass, transfer and non-paying travel, and gives boardings only — not alightings, load or crowding.</w:t>
            </w:r>
          </w:p>
        </w:tc>
        <w:tc>
          <w:tcPr>
            <w:tcW w:type="dxa" w:w="2694"/>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Higher than it appears: ticketing records are personal data and reuse for planning raises purpose-limitation questions.</w:t>
            </w:r>
          </w:p>
        </w:tc>
      </w:tr>
      <w:tr>
        <w:tc>
          <w:tcPr>
            <w:tcW w:type="dxa" w:w="1896"/>
            <w:tcMar>
              <w:top w:w="80" w:type="dxa"/>
              <w:start w:w="85" w:type="dxa"/>
              <w:bottom w:w="80" w:type="dxa"/>
              <w:end w:w="85" w:type="dxa"/>
            </w:tcMar>
          </w:tcPr>
          <w:p>
            <w:pPr>
              <w:spacing w:before="0" w:after="0" w:line="264" w:lineRule="auto"/>
            </w:pPr>
            <w:r>
              <w:rPr>
                <w:rFonts w:ascii="Calibri" w:hAnsi="Calibri"/>
                <w:b/>
                <w:i w:val="0"/>
                <w:color w:val="2C3338"/>
                <w:sz w:val="16"/>
              </w:rPr>
              <w:t>Camera-based counting with footage retention</w:t>
            </w:r>
          </w:p>
        </w:tc>
        <w:tc>
          <w:tcPr>
            <w:tcW w:type="dxa" w:w="2694"/>
            <w:tcMar>
              <w:top w:w="80" w:type="dxa"/>
              <w:start w:w="85" w:type="dxa"/>
              <w:bottom w:w="80" w:type="dxa"/>
              <w:end w:w="85" w:type="dxa"/>
            </w:tcMar>
          </w:tcPr>
          <w:p>
            <w:pPr>
              <w:spacing w:before="0" w:after="0" w:line="264" w:lineRule="auto"/>
            </w:pPr>
            <w:r>
              <w:rPr>
                <w:rFonts w:ascii="Calibri" w:hAnsi="Calibri"/>
                <w:b w:val="0"/>
                <w:i w:val="0"/>
                <w:color w:val="4B4F58"/>
                <w:sz w:val="16"/>
              </w:rPr>
              <w:t>Counts plus reviewable imagery; can be reconciled visually.</w:t>
            </w:r>
          </w:p>
        </w:tc>
        <w:tc>
          <w:tcPr>
            <w:tcW w:type="dxa" w:w="2694"/>
            <w:tcMar>
              <w:top w:w="80" w:type="dxa"/>
              <w:start w:w="85" w:type="dxa"/>
              <w:bottom w:w="80" w:type="dxa"/>
              <w:end w:w="85" w:type="dxa"/>
            </w:tcMar>
          </w:tcPr>
          <w:p>
            <w:pPr>
              <w:spacing w:before="0" w:after="0" w:line="264" w:lineRule="auto"/>
            </w:pPr>
            <w:r>
              <w:rPr>
                <w:rFonts w:ascii="Calibri" w:hAnsi="Calibri"/>
                <w:b w:val="0"/>
                <w:i w:val="0"/>
                <w:color w:val="4B4F58"/>
                <w:sz w:val="16"/>
              </w:rPr>
              <w:t>Retains images of passengers; storage, access and export controls become the dominant risk. Accuracy still requires validation.</w:t>
            </w:r>
          </w:p>
        </w:tc>
        <w:tc>
          <w:tcPr>
            <w:tcW w:type="dxa" w:w="2694"/>
            <w:tcMar>
              <w:top w:w="80" w:type="dxa"/>
              <w:start w:w="85" w:type="dxa"/>
              <w:bottom w:w="80" w:type="dxa"/>
              <w:end w:w="85" w:type="dxa"/>
            </w:tcMar>
          </w:tcPr>
          <w:p>
            <w:pPr>
              <w:spacing w:before="0" w:after="0" w:line="264" w:lineRule="auto"/>
            </w:pPr>
            <w:r>
              <w:rPr>
                <w:rFonts w:ascii="Calibri" w:hAnsi="Calibri"/>
                <w:b w:val="0"/>
                <w:i w:val="0"/>
                <w:color w:val="4B4F58"/>
                <w:sz w:val="16"/>
              </w:rPr>
              <w:t>High. Images of identifiable people, retained and potentially viewable remotely.</w:t>
            </w:r>
          </w:p>
        </w:tc>
      </w:tr>
      <w:tr>
        <w:tc>
          <w:tcPr>
            <w:tcW w:type="dxa" w:w="189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Anonymous overhead counting (selected)</w:t>
            </w:r>
          </w:p>
        </w:tc>
        <w:tc>
          <w:tcPr>
            <w:tcW w:type="dxa" w:w="2694"/>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Continuous counts by door, stop and hour across the fleet; supports planning, capacity and funding evidence.</w:t>
            </w:r>
          </w:p>
        </w:tc>
        <w:tc>
          <w:tcPr>
            <w:tcW w:type="dxa" w:w="2694"/>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Counts events, not people. No demographic or journey-level insight. Accuracy must still be validated per installation, and a faulty door feed degrades derived metrics.</w:t>
            </w:r>
          </w:p>
        </w:tc>
        <w:tc>
          <w:tcPr>
            <w:tcW w:type="dxa" w:w="2694"/>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Lowest of the options that meet the purpose: aggregate counts, with no image or device identifier leaving the vehicle in the counting path.</w:t>
            </w:r>
          </w:p>
        </w:tc>
      </w:tr>
    </w:tbl>
    <w:p>
      <w:pPr>
        <w:spacing w:before="0" w:after="100" w:line="240" w:lineRule="auto"/>
      </w:pPr>
    </w:p>
    <w:tbl>
      <w:tblPr>
        <w:tblW w:type="auto" w:w="0"/>
        <w:tblBorders>
          <w:top w:val="none"/>
          <w:left w:val="none"/>
          <w:bottom w:val="none"/>
          <w:right w:val="none"/>
          <w:insideH w:val="none"/>
          <w:insideV w:val="none"/>
        </w:tblBorders>
        <w:tblLayout w:type="fixed"/>
        <w:tblLook w:firstColumn="1" w:firstRow="1" w:lastColumn="0" w:lastRow="0" w:noHBand="0" w:noVBand="1" w:val="04A0"/>
      </w:tblPr>
      <w:tblGrid>
        <w:gridCol w:w="9978"/>
      </w:tblGrid>
      <w:tr>
        <w:trPr>
          <w:cantSplit/>
        </w:trPr>
        <w:tc>
          <w:tcPr>
            <w:tcW w:type="dxa" w:w="9978"/>
            <w:tcMar>
              <w:top w:w="20" w:type="dxa"/>
              <w:start w:w="20" w:type="dxa"/>
              <w:bottom w:w="20" w:type="dxa"/>
              <w:end w:w="20" w:type="dxa"/>
            </w:tcMar>
          </w:tcPr>
          <w:p>
            <w:pPr>
              <w:keepNext/>
              <w:spacing w:before="0" w:after="20" w:line="240" w:lineRule="auto"/>
            </w:pPr>
            <w:r>
              <w:rPr>
                <w:rFonts w:ascii="Calibri" w:hAnsi="Calibri"/>
                <w:b/>
                <w:i w:val="0"/>
                <w:color w:val="19455E"/>
                <w:sz w:val="16"/>
              </w:rPr>
              <w:t>Why the selected option is the least intrusive that meets the purpose — controller’s reasoning</w:t>
            </w:r>
          </w:p>
        </w:tc>
      </w:tr>
      <w:tr>
        <w:trPr>
          <w:cantSplit/>
        </w:trPr>
        <w:tc>
          <w:tcPr>
            <w:tcW w:type="dxa" w:w="9978"/>
            <w:tcBorders>
              <w:top w:val="single" w:sz="6" w:color="C9CFD6"/>
              <w:left w:val="single" w:sz="6" w:color="C9CFD6"/>
              <w:bottom w:val="single" w:sz="6" w:color="C9CFD6"/>
              <w:right w:val="single" w:sz="6" w:color="C9CFD6"/>
            </w:tcBorders>
            <w:shd w:val="clear" w:color="auto" w:fill="F2F6FA"/>
            <w:tcMar>
              <w:top w:w="60" w:type="dxa"/>
              <w:start w:w="90" w:type="dxa"/>
              <w:bottom w:w="60" w:type="dxa"/>
              <w:end w:w="90" w:type="dxa"/>
            </w:tcMar>
          </w:tcPr>
          <w:p>
            <w:pPr>
              <w:keepNext/>
              <w:spacing w:before="0" w:after="0" w:line="300" w:lineRule="auto"/>
            </w:pPr>
            <w:r>
              <w:rPr>
                <w:sz w:val="19"/>
              </w:rPr>
            </w:r>
          </w:p>
          <w:p>
            <w:pPr>
              <w:keepNext/>
              <w:spacing w:before="0" w:after="0" w:line="300" w:lineRule="auto"/>
            </w:pPr>
            <w:r>
              <w:rPr>
                <w:sz w:val="19"/>
              </w:rPr>
            </w:r>
          </w:p>
          <w:p>
            <w:pPr>
              <w:keepNext/>
              <w:spacing w:before="0" w:after="0" w:line="300" w:lineRule="auto"/>
            </w:pPr>
            <w:r>
              <w:rPr>
                <w:sz w:val="19"/>
              </w:rPr>
            </w:r>
          </w:p>
          <w:p>
            <w:pPr>
              <w:keepNext/>
              <w:spacing w:before="0" w:after="0" w:line="300" w:lineRule="auto"/>
            </w:pPr>
            <w:r>
              <w:rPr>
                <w:sz w:val="19"/>
              </w:rPr>
            </w:r>
          </w:p>
        </w:tc>
      </w:tr>
    </w:tbl>
    <w:p>
      <w:pPr>
        <w:spacing w:before="0" w:after="100" w:line="283" w:lineRule="auto"/>
      </w:pPr>
      <w:r>
        <w:rPr>
          <w:rFonts w:ascii="Calibri" w:hAnsi="Calibri"/>
          <w:b w:val="0"/>
          <w:i w:val="0"/>
          <w:color w:val="4B4F58"/>
          <w:sz w:val="19"/>
        </w:rPr>
        <w:t xml:space="preserve">Where welfare sensing is being considered, assess it as a </w:t>
      </w:r>
      <w:r>
        <w:rPr>
          <w:rFonts w:ascii="Calibri" w:hAnsi="Calibri"/>
          <w:b/>
          <w:i w:val="0"/>
          <w:color w:val="4B4F58"/>
          <w:sz w:val="19"/>
        </w:rPr>
        <w:t>separate</w:t>
      </w:r>
      <w:r>
        <w:rPr>
          <w:rFonts w:ascii="Calibri" w:hAnsi="Calibri"/>
          <w:b w:val="0"/>
          <w:i w:val="0"/>
          <w:color w:val="4B4F58"/>
          <w:sz w:val="19"/>
        </w:rPr>
        <w:t xml:space="preserve"> proposal with its own purpose, its own alternatives (for example staff presence, help points, radio or driver-initiated alarms, improved lighting and layout) and its own necessity test. It should not be carried along on the necessity case for counting.</w:t>
      </w:r>
    </w:p>
    <w:tbl>
      <w:tblPr>
        <w:tblW w:type="auto" w:w="0"/>
        <w:tblBorders>
          <w:top w:val="none"/>
          <w:left w:val="none"/>
          <w:bottom w:val="none"/>
          <w:right w:val="none"/>
          <w:insideH w:val="none"/>
          <w:insideV w:val="none"/>
        </w:tblBorders>
        <w:tblLayout w:type="fixed"/>
        <w:tblLook w:firstColumn="1" w:firstRow="1" w:lastColumn="0" w:lastRow="0" w:noHBand="0" w:noVBand="1" w:val="04A0"/>
      </w:tblPr>
      <w:tblGrid>
        <w:gridCol w:w="9978"/>
      </w:tblGrid>
      <w:tr>
        <w:trPr>
          <w:cantSplit/>
        </w:trPr>
        <w:tc>
          <w:tcPr>
            <w:tcW w:type="dxa" w:w="9978"/>
            <w:tcMar>
              <w:top w:w="20" w:type="dxa"/>
              <w:start w:w="20" w:type="dxa"/>
              <w:bottom w:w="20" w:type="dxa"/>
              <w:end w:w="20" w:type="dxa"/>
            </w:tcMar>
          </w:tcPr>
          <w:p>
            <w:pPr>
              <w:keepNext/>
              <w:spacing w:before="0" w:after="20" w:line="240" w:lineRule="auto"/>
            </w:pPr>
            <w:r>
              <w:rPr>
                <w:rFonts w:ascii="Calibri" w:hAnsi="Calibri"/>
                <w:b/>
                <w:i w:val="0"/>
                <w:color w:val="19455E"/>
                <w:sz w:val="16"/>
              </w:rPr>
              <w:t>If welfare sensing is in scope: purpose, alternatives considered, and why sensing is necessary</w:t>
            </w:r>
          </w:p>
        </w:tc>
      </w:tr>
      <w:tr>
        <w:trPr>
          <w:cantSplit/>
        </w:trPr>
        <w:tc>
          <w:tcPr>
            <w:tcW w:type="dxa" w:w="9978"/>
            <w:tcBorders>
              <w:top w:val="single" w:sz="6" w:color="C9CFD6"/>
              <w:left w:val="single" w:sz="6" w:color="C9CFD6"/>
              <w:bottom w:val="single" w:sz="6" w:color="C9CFD6"/>
              <w:right w:val="single" w:sz="6" w:color="C9CFD6"/>
            </w:tcBorders>
            <w:shd w:val="clear" w:color="auto" w:fill="F2F6FA"/>
            <w:tcMar>
              <w:top w:w="60" w:type="dxa"/>
              <w:start w:w="90" w:type="dxa"/>
              <w:bottom w:w="60" w:type="dxa"/>
              <w:end w:w="90" w:type="dxa"/>
            </w:tcMar>
          </w:tcPr>
          <w:p>
            <w:pPr>
              <w:keepNext/>
              <w:spacing w:before="0" w:after="0" w:line="300" w:lineRule="auto"/>
            </w:pPr>
            <w:r>
              <w:rPr>
                <w:sz w:val="19"/>
              </w:rPr>
            </w:r>
          </w:p>
          <w:p>
            <w:pPr>
              <w:keepNext/>
              <w:spacing w:before="0" w:after="0" w:line="300" w:lineRule="auto"/>
            </w:pPr>
            <w:r>
              <w:rPr>
                <w:sz w:val="19"/>
              </w:rPr>
            </w:r>
          </w:p>
          <w:p>
            <w:pPr>
              <w:keepNext/>
              <w:spacing w:before="0" w:after="0" w:line="300" w:lineRule="auto"/>
            </w:pPr>
            <w:r>
              <w:rPr>
                <w:sz w:val="19"/>
              </w:rPr>
            </w:r>
          </w:p>
          <w:p>
            <w:pPr>
              <w:keepNext/>
              <w:spacing w:before="0" w:after="0" w:line="300" w:lineRule="auto"/>
            </w:pPr>
            <w:r>
              <w:rPr>
                <w:sz w:val="19"/>
              </w:rPr>
            </w:r>
          </w:p>
        </w:tc>
      </w:tr>
    </w:tbl>
    <w:p>
      <w:pPr>
        <w:keepNext/>
        <w:spacing w:before="180" w:after="60" w:line="264" w:lineRule="auto"/>
      </w:pPr>
      <w:r>
        <w:rPr>
          <w:rFonts w:ascii="Calibri" w:hAnsi="Calibri"/>
          <w:b/>
          <w:i w:val="0"/>
          <w:color w:val="03273F"/>
          <w:sz w:val="24"/>
        </w:rPr>
        <w:t>3.2 Data minimisation and purpose limitation</w:t>
      </w:r>
    </w:p>
    <w:p>
      <w:pPr>
        <w:spacing w:before="0" w:after="64" w:line="283" w:lineRule="auto"/>
        <w:ind w:left="369" w:hanging="227"/>
      </w:pPr>
      <w:r>
        <w:rPr>
          <w:rFonts w:ascii="Calibri" w:hAnsi="Calibri"/>
          <w:b/>
          <w:color w:val="E63946"/>
          <w:sz w:val="19"/>
        </w:rPr>
        <w:t xml:space="preserve">•  </w:t>
      </w:r>
      <w:r>
        <w:rPr>
          <w:rFonts w:ascii="Calibri" w:hAnsi="Calibri"/>
          <w:b w:val="0"/>
          <w:i w:val="0"/>
          <w:color w:val="4B4F58"/>
          <w:sz w:val="19"/>
        </w:rPr>
        <w:t>Collect counts at the lowest granularity that supports the purpose. Per-stop, per-hour aggregates usually suffice for planning; per-event records rarely add planning value and add risk.</w:t>
      </w:r>
    </w:p>
    <w:p>
      <w:pPr>
        <w:spacing w:before="0" w:after="64" w:line="283" w:lineRule="auto"/>
        <w:ind w:left="369" w:hanging="227"/>
      </w:pPr>
      <w:r>
        <w:rPr>
          <w:rFonts w:ascii="Calibri" w:hAnsi="Calibri"/>
          <w:b/>
          <w:color w:val="E63946"/>
          <w:sz w:val="19"/>
        </w:rPr>
        <w:t xml:space="preserve">•  </w:t>
      </w:r>
      <w:r>
        <w:rPr>
          <w:rFonts w:ascii="Calibri" w:hAnsi="Calibri"/>
          <w:b w:val="0"/>
          <w:i w:val="0"/>
          <w:color w:val="4B4F58"/>
          <w:sz w:val="19"/>
        </w:rPr>
        <w:t>Keep the welfare module off unless a specific, documented safety purpose requires it, and keep it off on any vehicle with a faulty door feed where rules depend on occupancy.</w:t>
      </w:r>
    </w:p>
    <w:p>
      <w:pPr>
        <w:spacing w:before="0" w:after="64" w:line="283" w:lineRule="auto"/>
        <w:ind w:left="369" w:hanging="227"/>
      </w:pPr>
      <w:r>
        <w:rPr>
          <w:rFonts w:ascii="Calibri" w:hAnsi="Calibri"/>
          <w:b/>
          <w:color w:val="E63946"/>
          <w:sz w:val="19"/>
        </w:rPr>
        <w:t xml:space="preserve">•  </w:t>
      </w:r>
      <w:r>
        <w:rPr>
          <w:rFonts w:ascii="Calibri" w:hAnsi="Calibri"/>
          <w:b w:val="0"/>
          <w:i w:val="0"/>
          <w:color w:val="4B4F58"/>
          <w:sz w:val="19"/>
        </w:rPr>
        <w:t>Do not enable identification, demographic estimation or re-identification features because they are available in a product.</w:t>
      </w:r>
    </w:p>
    <w:p>
      <w:pPr>
        <w:spacing w:before="0" w:after="64" w:line="283" w:lineRule="auto"/>
        <w:ind w:left="369" w:hanging="227"/>
      </w:pPr>
      <w:r>
        <w:rPr>
          <w:rFonts w:ascii="Calibri" w:hAnsi="Calibri"/>
          <w:b/>
          <w:color w:val="E63946"/>
          <w:sz w:val="19"/>
        </w:rPr>
        <w:t xml:space="preserve">•  </w:t>
      </w:r>
      <w:r>
        <w:rPr>
          <w:rFonts w:ascii="Calibri" w:hAnsi="Calibri"/>
          <w:b w:val="0"/>
          <w:i w:val="0"/>
          <w:color w:val="4B4F58"/>
          <w:sz w:val="19"/>
        </w:rPr>
        <w:t>Where an occupancy feed is published to passengers or to an open-data service, publish a banded status rather than raw counts, and state whether the value is sensor-derived or estimated (</w:t>
      </w:r>
      <w:hyperlink r:id="rId14">
        <w:r>
          <w:rPr>
            <w:rFonts w:ascii="Calibri" w:hAnsi="Calibri"/>
            <w:color w:val="19455E"/>
            <w:u w:val="single"/>
            <w:sz w:val="19"/>
          </w:rPr>
          <w:t xml:space="preserve">DfT Bus Open Data Service operator requirements</w:t>
        </w:r>
      </w:hyperlink>
      <w:r>
        <w:rPr>
          <w:rFonts w:ascii="Calibri" w:hAnsi="Calibri"/>
          <w:b w:val="0"/>
          <w:i w:val="0"/>
          <w:color w:val="4B4F58"/>
          <w:sz w:val="19"/>
        </w:rPr>
        <w:t>).</w:t>
      </w:r>
    </w:p>
    <w:p>
      <w:pPr>
        <w:keepNext/>
        <w:spacing w:before="180" w:after="60" w:line="264" w:lineRule="auto"/>
      </w:pPr>
      <w:r>
        <w:rPr>
          <w:rFonts w:ascii="Calibri" w:hAnsi="Calibri"/>
          <w:b/>
          <w:i w:val="0"/>
          <w:color w:val="03273F"/>
          <w:sz w:val="24"/>
        </w:rPr>
        <w:t>3.3 Function-creep controls</w:t>
      </w:r>
    </w:p>
    <w:p>
      <w:pPr>
        <w:spacing w:before="0" w:after="100" w:line="283" w:lineRule="auto"/>
      </w:pPr>
      <w:r>
        <w:rPr>
          <w:rFonts w:ascii="Calibri" w:hAnsi="Calibri"/>
          <w:b w:val="0"/>
          <w:i w:val="0"/>
          <w:color w:val="4B4F58"/>
          <w:sz w:val="19"/>
        </w:rPr>
        <w:t>Function creep is the most predictable failure mode for on-vehicle sensing: a system installed to count passengers is later asked to answer a question about a person. Control it explicitly.</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3393"/>
        <w:gridCol w:w="3991"/>
        <w:gridCol w:w="2594"/>
      </w:tblGrid>
      <w:tr>
        <w:trPr>
          <w:tblHeader w:val="true"/>
        </w:trPr>
        <w:tc>
          <w:tcPr>
            <w:tcW w:type="dxa" w:w="33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Control</w:t>
            </w:r>
          </w:p>
        </w:tc>
        <w:tc>
          <w:tcPr>
            <w:tcW w:type="dxa" w:w="3991"/>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How it works</w:t>
            </w:r>
          </w:p>
        </w:tc>
        <w:tc>
          <w:tcPr>
            <w:tcW w:type="dxa" w:w="2594"/>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Owner and status</w:t>
            </w:r>
          </w:p>
        </w:tc>
      </w:tr>
      <w:tr>
        <w:tc>
          <w:tcPr>
            <w:tcW w:type="dxa" w:w="3393"/>
            <w:tcMar>
              <w:top w:w="80" w:type="dxa"/>
              <w:start w:w="85" w:type="dxa"/>
              <w:bottom w:w="80" w:type="dxa"/>
              <w:end w:w="85" w:type="dxa"/>
            </w:tcMar>
          </w:tcPr>
          <w:p>
            <w:pPr>
              <w:spacing w:before="0" w:after="0" w:line="264" w:lineRule="auto"/>
            </w:pPr>
            <w:r>
              <w:rPr>
                <w:rFonts w:ascii="Calibri" w:hAnsi="Calibri"/>
                <w:b/>
                <w:i w:val="0"/>
                <w:color w:val="2C3338"/>
                <w:sz w:val="16"/>
              </w:rPr>
              <w:t>Documented permitted-use list</w:t>
            </w:r>
          </w:p>
        </w:tc>
        <w:tc>
          <w:tcPr>
            <w:tcW w:type="dxa" w:w="3991"/>
            <w:tcMar>
              <w:top w:w="80" w:type="dxa"/>
              <w:start w:w="85" w:type="dxa"/>
              <w:bottom w:w="80" w:type="dxa"/>
              <w:end w:w="85" w:type="dxa"/>
            </w:tcMar>
          </w:tcPr>
          <w:p>
            <w:pPr>
              <w:spacing w:before="0" w:after="0" w:line="264" w:lineRule="auto"/>
            </w:pPr>
            <w:r>
              <w:rPr>
                <w:rFonts w:ascii="Calibri" w:hAnsi="Calibri"/>
                <w:b w:val="0"/>
                <w:i w:val="0"/>
                <w:color w:val="4B4F58"/>
                <w:sz w:val="16"/>
              </w:rPr>
              <w:t>A short written list of uses the system is approved for. Anything not on the list requires a change request.</w:t>
            </w:r>
          </w:p>
        </w:tc>
        <w:tc>
          <w:tcPr>
            <w:tcW w:type="dxa" w:w="2594"/>
            <w:shd w:val="clear" w:color="auto" w:fill="F2F6FA"/>
            <w:tcMar>
              <w:top w:w="80" w:type="dxa"/>
              <w:start w:w="85" w:type="dxa"/>
              <w:bottom w:w="80" w:type="dxa"/>
              <w:end w:w="85" w:type="dxa"/>
            </w:tcMar>
          </w:tcPr>
          <w:p>
            <w:pPr>
              <w:spacing w:before="0" w:after="0" w:line="264" w:lineRule="auto"/>
            </w:pPr>
          </w:p>
        </w:tc>
      </w:tr>
      <w:tr>
        <w:tc>
          <w:tcPr>
            <w:tcW w:type="dxa" w:w="3393"/>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Change gate</w:t>
            </w:r>
          </w:p>
        </w:tc>
        <w:tc>
          <w:tcPr>
            <w:tcW w:type="dxa" w:w="3991"/>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New analytics, new linkage, new recipients or a new retention period require DPO review and a DPIA update before enablement.</w:t>
            </w:r>
          </w:p>
        </w:tc>
        <w:tc>
          <w:tcPr>
            <w:tcW w:type="dxa" w:w="2594"/>
            <w:shd w:val="clear" w:color="auto" w:fill="F2F6FA"/>
            <w:tcMar>
              <w:top w:w="80" w:type="dxa"/>
              <w:start w:w="85" w:type="dxa"/>
              <w:bottom w:w="80" w:type="dxa"/>
              <w:end w:w="85" w:type="dxa"/>
            </w:tcMar>
          </w:tcPr>
          <w:p>
            <w:pPr>
              <w:spacing w:before="0" w:after="0" w:line="264" w:lineRule="auto"/>
            </w:pPr>
          </w:p>
        </w:tc>
      </w:tr>
      <w:tr>
        <w:tc>
          <w:tcPr>
            <w:tcW w:type="dxa" w:w="3393"/>
            <w:tcMar>
              <w:top w:w="80" w:type="dxa"/>
              <w:start w:w="85" w:type="dxa"/>
              <w:bottom w:w="80" w:type="dxa"/>
              <w:end w:w="85" w:type="dxa"/>
            </w:tcMar>
          </w:tcPr>
          <w:p>
            <w:pPr>
              <w:spacing w:before="0" w:after="0" w:line="264" w:lineRule="auto"/>
            </w:pPr>
            <w:r>
              <w:rPr>
                <w:rFonts w:ascii="Calibri" w:hAnsi="Calibri"/>
                <w:b/>
                <w:i w:val="0"/>
                <w:color w:val="2C3338"/>
                <w:sz w:val="16"/>
              </w:rPr>
              <w:t>Configuration lock</w:t>
            </w:r>
          </w:p>
        </w:tc>
        <w:tc>
          <w:tcPr>
            <w:tcW w:type="dxa" w:w="3991"/>
            <w:tcMar>
              <w:top w:w="80" w:type="dxa"/>
              <w:start w:w="85" w:type="dxa"/>
              <w:bottom w:w="80" w:type="dxa"/>
              <w:end w:w="85" w:type="dxa"/>
            </w:tcMar>
          </w:tcPr>
          <w:p>
            <w:pPr>
              <w:spacing w:before="0" w:after="0" w:line="264" w:lineRule="auto"/>
            </w:pPr>
            <w:r>
              <w:rPr>
                <w:rFonts w:ascii="Calibri" w:hAnsi="Calibri"/>
                <w:b w:val="0"/>
                <w:i w:val="0"/>
                <w:color w:val="4B4F58"/>
                <w:sz w:val="16"/>
              </w:rPr>
              <w:t>Analytics features that are not approved remain disabled in configuration, and enablement is logged.</w:t>
            </w:r>
          </w:p>
        </w:tc>
        <w:tc>
          <w:tcPr>
            <w:tcW w:type="dxa" w:w="2594"/>
            <w:shd w:val="clear" w:color="auto" w:fill="F2F6FA"/>
            <w:tcMar>
              <w:top w:w="80" w:type="dxa"/>
              <w:start w:w="85" w:type="dxa"/>
              <w:bottom w:w="80" w:type="dxa"/>
              <w:end w:w="85" w:type="dxa"/>
            </w:tcMar>
          </w:tcPr>
          <w:p>
            <w:pPr>
              <w:spacing w:before="0" w:after="0" w:line="264" w:lineRule="auto"/>
            </w:pPr>
          </w:p>
        </w:tc>
      </w:tr>
      <w:tr>
        <w:tc>
          <w:tcPr>
            <w:tcW w:type="dxa" w:w="3393"/>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Request log</w:t>
            </w:r>
          </w:p>
        </w:tc>
        <w:tc>
          <w:tcPr>
            <w:tcW w:type="dxa" w:w="3991"/>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Requests to use the data for staff performance, discipline or investigation are logged and answered against the permitted-use list.</w:t>
            </w:r>
          </w:p>
        </w:tc>
        <w:tc>
          <w:tcPr>
            <w:tcW w:type="dxa" w:w="2594"/>
            <w:shd w:val="clear" w:color="auto" w:fill="F2F6FA"/>
            <w:tcMar>
              <w:top w:w="80" w:type="dxa"/>
              <w:start w:w="85" w:type="dxa"/>
              <w:bottom w:w="80" w:type="dxa"/>
              <w:end w:w="85" w:type="dxa"/>
            </w:tcMar>
          </w:tcPr>
          <w:p>
            <w:pPr>
              <w:spacing w:before="0" w:after="0" w:line="264" w:lineRule="auto"/>
            </w:pPr>
          </w:p>
        </w:tc>
      </w:tr>
      <w:tr>
        <w:tc>
          <w:tcPr>
            <w:tcW w:type="dxa" w:w="3393"/>
            <w:tcMar>
              <w:top w:w="80" w:type="dxa"/>
              <w:start w:w="85" w:type="dxa"/>
              <w:bottom w:w="80" w:type="dxa"/>
              <w:end w:w="85" w:type="dxa"/>
            </w:tcMar>
          </w:tcPr>
          <w:p>
            <w:pPr>
              <w:spacing w:before="0" w:after="0" w:line="264" w:lineRule="auto"/>
            </w:pPr>
            <w:r>
              <w:rPr>
                <w:rFonts w:ascii="Calibri" w:hAnsi="Calibri"/>
                <w:b/>
                <w:i w:val="0"/>
                <w:color w:val="2C3338"/>
                <w:sz w:val="16"/>
              </w:rPr>
              <w:t>Contractual restriction</w:t>
            </w:r>
          </w:p>
        </w:tc>
        <w:tc>
          <w:tcPr>
            <w:tcW w:type="dxa" w:w="3991"/>
            <w:tcMar>
              <w:top w:w="80" w:type="dxa"/>
              <w:start w:w="85" w:type="dxa"/>
              <w:bottom w:w="80" w:type="dxa"/>
              <w:end w:w="85" w:type="dxa"/>
            </w:tcMar>
          </w:tcPr>
          <w:p>
            <w:pPr>
              <w:spacing w:before="0" w:after="0" w:line="264" w:lineRule="auto"/>
            </w:pPr>
            <w:r>
              <w:rPr>
                <w:rFonts w:ascii="Calibri" w:hAnsi="Calibri"/>
                <w:b w:val="0"/>
                <w:i w:val="0"/>
                <w:color w:val="4B4F58"/>
                <w:sz w:val="16"/>
              </w:rPr>
              <w:t>The processor contract prohibits use of the data for the supplier’s own purposes, including model training, without written instruction.</w:t>
            </w:r>
          </w:p>
        </w:tc>
        <w:tc>
          <w:tcPr>
            <w:tcW w:type="dxa" w:w="2594"/>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p>
      <w:pPr>
        <w:keepNext/>
        <w:spacing w:before="180" w:after="60" w:line="264" w:lineRule="auto"/>
      </w:pPr>
      <w:r>
        <w:rPr>
          <w:rFonts w:ascii="Calibri" w:hAnsi="Calibri"/>
          <w:b/>
          <w:i w:val="0"/>
          <w:color w:val="03273F"/>
          <w:sz w:val="24"/>
        </w:rPr>
        <w:t>3.4 Accuracy, and why it is a fairness question</w:t>
      </w:r>
    </w:p>
    <w:p>
      <w:pPr>
        <w:spacing w:before="0" w:after="100" w:line="283" w:lineRule="auto"/>
      </w:pPr>
      <w:r>
        <w:rPr>
          <w:rFonts w:ascii="Calibri" w:hAnsi="Calibri"/>
          <w:b w:val="0"/>
          <w:i w:val="0"/>
          <w:color w:val="4B4F58"/>
          <w:sz w:val="19"/>
        </w:rPr>
        <w:t>Accuracy is a data protection principle, not only an engineering metric. A wrong count drives a wrong service decision: an undercount can justify withdrawing or thinning a service that people depend on, and an overcount can hide crowding that affects safety and comfort. Where the service in question is a hospital, campus or social-care shuttle, the people affected by a wrong decision are often those with fewest alternatives.</w:t>
      </w:r>
    </w:p>
    <w:p>
      <w:pPr>
        <w:spacing w:before="0" w:after="64" w:line="283" w:lineRule="auto"/>
        <w:ind w:left="369" w:hanging="227"/>
      </w:pPr>
      <w:r>
        <w:rPr>
          <w:rFonts w:ascii="Calibri" w:hAnsi="Calibri"/>
          <w:b/>
          <w:color w:val="E63946"/>
          <w:sz w:val="19"/>
        </w:rPr>
        <w:t xml:space="preserve">•  </w:t>
      </w:r>
      <w:r>
        <w:rPr>
          <w:rFonts w:ascii="Calibri" w:hAnsi="Calibri"/>
          <w:b w:val="0"/>
          <w:i w:val="0"/>
          <w:color w:val="4B4F58"/>
          <w:sz w:val="19"/>
        </w:rPr>
        <w:t>Validate accuracy per installation against manual reference counts, and record the result per door and per route rather than adopting a single headline percentage.</w:t>
      </w:r>
    </w:p>
    <w:p>
      <w:pPr>
        <w:spacing w:before="0" w:after="64" w:line="283" w:lineRule="auto"/>
        <w:ind w:left="369" w:hanging="227"/>
      </w:pPr>
      <w:r>
        <w:rPr>
          <w:rFonts w:ascii="Calibri" w:hAnsi="Calibri"/>
          <w:b/>
          <w:color w:val="E63946"/>
          <w:sz w:val="19"/>
        </w:rPr>
        <w:t xml:space="preserve">•  </w:t>
      </w:r>
      <w:r>
        <w:rPr>
          <w:rFonts w:ascii="Calibri" w:hAnsi="Calibri"/>
          <w:b w:val="0"/>
          <w:i w:val="0"/>
          <w:color w:val="4B4F58"/>
          <w:sz w:val="19"/>
        </w:rPr>
        <w:t>Require the supplier to state the denominator (boardings, alightings or occupancy), the sample, the vehicle, door, sensor and firmware scope, the matching rules and the confidence interval. VDV-Schrift 457 sets out a statistical framework for this (</w:t>
      </w:r>
      <w:hyperlink r:id="rId15">
        <w:r>
          <w:rPr>
            <w:rFonts w:ascii="Calibri" w:hAnsi="Calibri"/>
            <w:color w:val="19455E"/>
            <w:u w:val="single"/>
            <w:sz w:val="19"/>
          </w:rPr>
          <w:t xml:space="preserve">VDV 457 current version page</w:t>
        </w:r>
      </w:hyperlink>
      <w:r>
        <w:rPr>
          <w:rFonts w:ascii="Calibri" w:hAnsi="Calibri"/>
          <w:b w:val="0"/>
          <w:i w:val="0"/>
          <w:color w:val="4B4F58"/>
          <w:sz w:val="19"/>
        </w:rPr>
        <w:t>).</w:t>
      </w:r>
    </w:p>
    <w:p>
      <w:pPr>
        <w:spacing w:before="0" w:after="64" w:line="283" w:lineRule="auto"/>
        <w:ind w:left="369" w:hanging="227"/>
      </w:pPr>
      <w:r>
        <w:rPr>
          <w:rFonts w:ascii="Calibri" w:hAnsi="Calibri"/>
          <w:b/>
          <w:color w:val="E63946"/>
          <w:sz w:val="19"/>
        </w:rPr>
        <w:t xml:space="preserve">•  </w:t>
      </w:r>
      <w:r>
        <w:rPr>
          <w:rFonts w:ascii="Calibri" w:hAnsi="Calibri"/>
          <w:b w:val="0"/>
          <w:i w:val="0"/>
          <w:color w:val="4B4F58"/>
          <w:sz w:val="19"/>
        </w:rPr>
        <w:t>Re-validate after firmware or sensor changes that could affect the count core, and periodically thereafter.</w:t>
      </w:r>
    </w:p>
    <w:p>
      <w:pPr>
        <w:spacing w:before="0" w:after="64" w:line="283" w:lineRule="auto"/>
        <w:ind w:left="369" w:hanging="227"/>
      </w:pPr>
      <w:r>
        <w:rPr>
          <w:rFonts w:ascii="Calibri" w:hAnsi="Calibri"/>
          <w:b/>
          <w:color w:val="E63946"/>
          <w:sz w:val="19"/>
        </w:rPr>
        <w:t xml:space="preserve">•  </w:t>
      </w:r>
      <w:r>
        <w:rPr>
          <w:rFonts w:ascii="Calibri" w:hAnsi="Calibri"/>
          <w:b w:val="0"/>
          <w:i w:val="0"/>
          <w:color w:val="4B4F58"/>
          <w:sz w:val="19"/>
        </w:rPr>
        <w:t>Treat sensor health as part of accuracy. Feed-liveness thresholds, expiry of stale positions and suppression of derived alerts on untrusted data all prevent a broken feed from being read as a real observation.</w:t>
      </w:r>
    </w:p>
    <w:p>
      <w:pPr>
        <w:spacing w:before="0" w:after="64" w:line="283" w:lineRule="auto"/>
        <w:ind w:left="369" w:hanging="227"/>
      </w:pPr>
      <w:r>
        <w:rPr>
          <w:rFonts w:ascii="Calibri" w:hAnsi="Calibri"/>
          <w:b/>
          <w:color w:val="E63946"/>
          <w:sz w:val="19"/>
        </w:rPr>
        <w:t xml:space="preserve">•  </w:t>
      </w:r>
      <w:r>
        <w:rPr>
          <w:rFonts w:ascii="Calibri" w:hAnsi="Calibri"/>
          <w:b w:val="0"/>
          <w:i w:val="0"/>
          <w:color w:val="4B4F58"/>
          <w:sz w:val="19"/>
        </w:rPr>
        <w:t>Publish the caveats alongside the numbers when count data is used in a funding or service-withdrawal case, so that decision-makers know the confidence attached.</w:t>
      </w:r>
    </w:p>
    <w:tbl>
      <w:tblPr>
        <w:tblW w:type="auto" w:w="0"/>
        <w:tblBorders>
          <w:top w:val="none"/>
          <w:left w:val="none"/>
          <w:bottom w:val="none"/>
          <w:right w:val="none"/>
          <w:insideH w:val="none"/>
          <w:insideV w:val="none"/>
        </w:tblBorders>
        <w:tblLayout w:type="fixed"/>
        <w:tblLook w:firstColumn="1" w:firstRow="1" w:lastColumn="0" w:lastRow="0" w:noHBand="0" w:noVBand="1" w:val="04A0"/>
      </w:tblPr>
      <w:tblGrid>
        <w:gridCol w:w="9978"/>
      </w:tblGrid>
      <w:tr>
        <w:trPr>
          <w:cantSplit/>
        </w:trPr>
        <w:tc>
          <w:tcPr>
            <w:tcW w:type="dxa" w:w="9978"/>
            <w:tcMar>
              <w:top w:w="20" w:type="dxa"/>
              <w:start w:w="20" w:type="dxa"/>
              <w:bottom w:w="20" w:type="dxa"/>
              <w:end w:w="20" w:type="dxa"/>
            </w:tcMar>
          </w:tcPr>
          <w:p>
            <w:pPr>
              <w:keepNext/>
              <w:spacing w:before="0" w:after="20" w:line="240" w:lineRule="auto"/>
            </w:pPr>
            <w:r>
              <w:rPr>
                <w:rFonts w:ascii="Calibri" w:hAnsi="Calibri"/>
                <w:b/>
                <w:i w:val="0"/>
                <w:color w:val="19455E"/>
                <w:sz w:val="16"/>
              </w:rPr>
              <w:t>Accuracy validation plan: method, reference counts, tolerance, dates, who signs off</w:t>
            </w:r>
          </w:p>
        </w:tc>
      </w:tr>
      <w:tr>
        <w:trPr>
          <w:cantSplit/>
        </w:trPr>
        <w:tc>
          <w:tcPr>
            <w:tcW w:type="dxa" w:w="9978"/>
            <w:tcBorders>
              <w:top w:val="single" w:sz="6" w:color="C9CFD6"/>
              <w:left w:val="single" w:sz="6" w:color="C9CFD6"/>
              <w:bottom w:val="single" w:sz="6" w:color="C9CFD6"/>
              <w:right w:val="single" w:sz="6" w:color="C9CFD6"/>
            </w:tcBorders>
            <w:shd w:val="clear" w:color="auto" w:fill="F2F6FA"/>
            <w:tcMar>
              <w:top w:w="60" w:type="dxa"/>
              <w:start w:w="90" w:type="dxa"/>
              <w:bottom w:w="60" w:type="dxa"/>
              <w:end w:w="90" w:type="dxa"/>
            </w:tcMar>
          </w:tcPr>
          <w:p>
            <w:pPr>
              <w:keepNext/>
              <w:spacing w:before="0" w:after="0" w:line="300" w:lineRule="auto"/>
            </w:pPr>
            <w:r>
              <w:rPr>
                <w:sz w:val="19"/>
              </w:rPr>
            </w:r>
          </w:p>
          <w:p>
            <w:pPr>
              <w:keepNext/>
              <w:spacing w:before="0" w:after="0" w:line="300" w:lineRule="auto"/>
            </w:pPr>
            <w:r>
              <w:rPr>
                <w:sz w:val="19"/>
              </w:rPr>
            </w:r>
          </w:p>
          <w:p>
            <w:pPr>
              <w:keepNext/>
              <w:spacing w:before="0" w:after="0" w:line="300" w:lineRule="auto"/>
            </w:pPr>
            <w:r>
              <w:rPr>
                <w:sz w:val="19"/>
              </w:rPr>
            </w:r>
          </w:p>
        </w:tc>
      </w:tr>
    </w:tbl>
    <w:p>
      <w:pPr>
        <w:keepNext/>
        <w:spacing w:before="180" w:after="60" w:line="264" w:lineRule="auto"/>
      </w:pPr>
      <w:r>
        <w:rPr>
          <w:rFonts w:ascii="Calibri" w:hAnsi="Calibri"/>
          <w:b/>
          <w:i w:val="0"/>
          <w:color w:val="03273F"/>
          <w:sz w:val="24"/>
        </w:rPr>
        <w:t>3.5 Storage limitation</w:t>
      </w:r>
    </w:p>
    <w:p>
      <w:pPr>
        <w:spacing w:before="0" w:after="100" w:line="283" w:lineRule="auto"/>
      </w:pPr>
      <w:r>
        <w:rPr>
          <w:rFonts w:ascii="Calibri" w:hAnsi="Calibri"/>
          <w:b w:val="0"/>
          <w:i w:val="0"/>
          <w:color w:val="4B4F58"/>
          <w:sz w:val="19"/>
        </w:rPr>
        <w:t>Set a retention period for each data class, tie it to the purpose, and make deletion automatic rather than a task someone must remember. Annex B gives the fuller schedule; the table below records the headline decisions.</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2594"/>
        <w:gridCol w:w="1596"/>
        <w:gridCol w:w="2993"/>
        <w:gridCol w:w="2794"/>
      </w:tblGrid>
      <w:tr>
        <w:trPr>
          <w:tblHeader w:val="true"/>
        </w:trPr>
        <w:tc>
          <w:tcPr>
            <w:tcW w:type="dxa" w:w="2594"/>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Data class</w:t>
            </w:r>
          </w:p>
        </w:tc>
        <w:tc>
          <w:tcPr>
            <w:tcW w:type="dxa" w:w="1596"/>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Retention</w:t>
            </w:r>
          </w:p>
        </w:tc>
        <w:tc>
          <w:tcPr>
            <w:tcW w:type="dxa" w:w="29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Justification tied to purpose</w:t>
            </w:r>
          </w:p>
        </w:tc>
        <w:tc>
          <w:tcPr>
            <w:tcW w:type="dxa" w:w="2794"/>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Deletion mechanism and evidence</w:t>
            </w:r>
          </w:p>
        </w:tc>
      </w:tr>
      <w:tr>
        <w:tc>
          <w:tcPr>
            <w:tcW w:type="dxa" w:w="2594"/>
            <w:tcMar>
              <w:top w:w="80" w:type="dxa"/>
              <w:start w:w="85" w:type="dxa"/>
              <w:bottom w:w="80" w:type="dxa"/>
              <w:end w:w="85" w:type="dxa"/>
            </w:tcMar>
          </w:tcPr>
          <w:p>
            <w:pPr>
              <w:spacing w:before="0" w:after="0" w:line="264" w:lineRule="auto"/>
            </w:pPr>
            <w:r>
              <w:rPr>
                <w:rFonts w:ascii="Calibri" w:hAnsi="Calibri"/>
                <w:b/>
                <w:i w:val="0"/>
                <w:color w:val="2C3338"/>
                <w:sz w:val="16"/>
              </w:rPr>
              <w:t>Raw per-event count messages</w:t>
            </w:r>
          </w:p>
        </w:tc>
        <w:tc>
          <w:tcPr>
            <w:tcW w:type="dxa" w:w="1596"/>
            <w:shd w:val="clear" w:color="auto" w:fill="F2F6FA"/>
            <w:tcMar>
              <w:top w:w="80" w:type="dxa"/>
              <w:start w:w="85" w:type="dxa"/>
              <w:bottom w:w="80" w:type="dxa"/>
              <w:end w:w="85" w:type="dxa"/>
            </w:tcMar>
          </w:tcPr>
          <w:p>
            <w:pPr>
              <w:spacing w:before="0" w:after="0" w:line="264" w:lineRule="auto"/>
            </w:pPr>
          </w:p>
        </w:tc>
        <w:tc>
          <w:tcPr>
            <w:tcW w:type="dxa" w:w="2993"/>
            <w:tcMar>
              <w:top w:w="80" w:type="dxa"/>
              <w:start w:w="85" w:type="dxa"/>
              <w:bottom w:w="80" w:type="dxa"/>
              <w:end w:w="85" w:type="dxa"/>
            </w:tcMar>
          </w:tcPr>
          <w:p>
            <w:pPr>
              <w:spacing w:before="0" w:after="0" w:line="264" w:lineRule="auto"/>
            </w:pPr>
            <w:r>
              <w:rPr>
                <w:rFonts w:ascii="Calibri" w:hAnsi="Calibri"/>
                <w:b w:val="0"/>
                <w:i w:val="0"/>
                <w:color w:val="4B4F58"/>
                <w:sz w:val="16"/>
              </w:rPr>
              <w:t>Only needed until aggregation and validation are complete.</w:t>
            </w:r>
          </w:p>
        </w:tc>
        <w:tc>
          <w:tcPr>
            <w:tcW w:type="dxa" w:w="2794"/>
            <w:shd w:val="clear" w:color="auto" w:fill="F2F6FA"/>
            <w:tcMar>
              <w:top w:w="80" w:type="dxa"/>
              <w:start w:w="85" w:type="dxa"/>
              <w:bottom w:w="80" w:type="dxa"/>
              <w:end w:w="85" w:type="dxa"/>
            </w:tcMar>
          </w:tcPr>
          <w:p>
            <w:pPr>
              <w:spacing w:before="0" w:after="0" w:line="264" w:lineRule="auto"/>
            </w:pPr>
          </w:p>
        </w:tc>
      </w:tr>
      <w:tr>
        <w:tc>
          <w:tcPr>
            <w:tcW w:type="dxa" w:w="2594"/>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Aggregated counts by stop and hour</w:t>
            </w:r>
          </w:p>
        </w:tc>
        <w:tc>
          <w:tcPr>
            <w:tcW w:type="dxa" w:w="1596"/>
            <w:shd w:val="clear" w:color="auto" w:fill="F2F6FA"/>
            <w:tcMar>
              <w:top w:w="80" w:type="dxa"/>
              <w:start w:w="85" w:type="dxa"/>
              <w:bottom w:w="80" w:type="dxa"/>
              <w:end w:w="85" w:type="dxa"/>
            </w:tcMar>
          </w:tcPr>
          <w:p>
            <w:pPr>
              <w:spacing w:before="0" w:after="0" w:line="264" w:lineRule="auto"/>
            </w:pPr>
          </w:p>
        </w:tc>
        <w:tc>
          <w:tcPr>
            <w:tcW w:type="dxa" w:w="2993"/>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Planning, funding and trend comparison over multiple years.</w:t>
            </w:r>
          </w:p>
        </w:tc>
        <w:tc>
          <w:tcPr>
            <w:tcW w:type="dxa" w:w="2794"/>
            <w:shd w:val="clear" w:color="auto" w:fill="F2F6FA"/>
            <w:tcMar>
              <w:top w:w="80" w:type="dxa"/>
              <w:start w:w="85" w:type="dxa"/>
              <w:bottom w:w="80" w:type="dxa"/>
              <w:end w:w="85" w:type="dxa"/>
            </w:tcMar>
          </w:tcPr>
          <w:p>
            <w:pPr>
              <w:spacing w:before="0" w:after="0" w:line="264" w:lineRule="auto"/>
            </w:pPr>
          </w:p>
        </w:tc>
      </w:tr>
      <w:tr>
        <w:tc>
          <w:tcPr>
            <w:tcW w:type="dxa" w:w="2594"/>
            <w:tcMar>
              <w:top w:w="80" w:type="dxa"/>
              <w:start w:w="85" w:type="dxa"/>
              <w:bottom w:w="80" w:type="dxa"/>
              <w:end w:w="85" w:type="dxa"/>
            </w:tcMar>
          </w:tcPr>
          <w:p>
            <w:pPr>
              <w:spacing w:before="0" w:after="0" w:line="264" w:lineRule="auto"/>
            </w:pPr>
            <w:r>
              <w:rPr>
                <w:rFonts w:ascii="Calibri" w:hAnsi="Calibri"/>
                <w:b/>
                <w:i w:val="0"/>
                <w:color w:val="2C3338"/>
                <w:sz w:val="16"/>
              </w:rPr>
              <w:t>Sensor-health and diagnostic records</w:t>
            </w:r>
          </w:p>
        </w:tc>
        <w:tc>
          <w:tcPr>
            <w:tcW w:type="dxa" w:w="1596"/>
            <w:shd w:val="clear" w:color="auto" w:fill="F2F6FA"/>
            <w:tcMar>
              <w:top w:w="80" w:type="dxa"/>
              <w:start w:w="85" w:type="dxa"/>
              <w:bottom w:w="80" w:type="dxa"/>
              <w:end w:w="85" w:type="dxa"/>
            </w:tcMar>
          </w:tcPr>
          <w:p>
            <w:pPr>
              <w:spacing w:before="0" w:after="0" w:line="264" w:lineRule="auto"/>
            </w:pPr>
          </w:p>
        </w:tc>
        <w:tc>
          <w:tcPr>
            <w:tcW w:type="dxa" w:w="2993"/>
            <w:tcMar>
              <w:top w:w="80" w:type="dxa"/>
              <w:start w:w="85" w:type="dxa"/>
              <w:bottom w:w="80" w:type="dxa"/>
              <w:end w:w="85" w:type="dxa"/>
            </w:tcMar>
          </w:tcPr>
          <w:p>
            <w:pPr>
              <w:spacing w:before="0" w:after="0" w:line="264" w:lineRule="auto"/>
            </w:pPr>
            <w:r>
              <w:rPr>
                <w:rFonts w:ascii="Calibri" w:hAnsi="Calibri"/>
                <w:b w:val="0"/>
                <w:i w:val="0"/>
                <w:color w:val="4B4F58"/>
                <w:sz w:val="16"/>
              </w:rPr>
              <w:t>Fault investigation and data-trust assurance.</w:t>
            </w:r>
          </w:p>
        </w:tc>
        <w:tc>
          <w:tcPr>
            <w:tcW w:type="dxa" w:w="2794"/>
            <w:shd w:val="clear" w:color="auto" w:fill="F2F6FA"/>
            <w:tcMar>
              <w:top w:w="80" w:type="dxa"/>
              <w:start w:w="85" w:type="dxa"/>
              <w:bottom w:w="80" w:type="dxa"/>
              <w:end w:w="85" w:type="dxa"/>
            </w:tcMar>
          </w:tcPr>
          <w:p>
            <w:pPr>
              <w:spacing w:before="0" w:after="0" w:line="264" w:lineRule="auto"/>
            </w:pPr>
          </w:p>
        </w:tc>
      </w:tr>
      <w:tr>
        <w:tc>
          <w:tcPr>
            <w:tcW w:type="dxa" w:w="2594"/>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Location records and provenance fields</w:t>
            </w:r>
          </w:p>
        </w:tc>
        <w:tc>
          <w:tcPr>
            <w:tcW w:type="dxa" w:w="1596"/>
            <w:shd w:val="clear" w:color="auto" w:fill="F2F6FA"/>
            <w:tcMar>
              <w:top w:w="80" w:type="dxa"/>
              <w:start w:w="85" w:type="dxa"/>
              <w:bottom w:w="80" w:type="dxa"/>
              <w:end w:w="85" w:type="dxa"/>
            </w:tcMar>
          </w:tcPr>
          <w:p>
            <w:pPr>
              <w:spacing w:before="0" w:after="0" w:line="264" w:lineRule="auto"/>
            </w:pPr>
          </w:p>
        </w:tc>
        <w:tc>
          <w:tcPr>
            <w:tcW w:type="dxa" w:w="2993"/>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Route attribution and data-quality investigation.</w:t>
            </w:r>
          </w:p>
        </w:tc>
        <w:tc>
          <w:tcPr>
            <w:tcW w:type="dxa" w:w="2794"/>
            <w:shd w:val="clear" w:color="auto" w:fill="F2F6FA"/>
            <w:tcMar>
              <w:top w:w="80" w:type="dxa"/>
              <w:start w:w="85" w:type="dxa"/>
              <w:bottom w:w="80" w:type="dxa"/>
              <w:end w:w="85" w:type="dxa"/>
            </w:tcMar>
          </w:tcPr>
          <w:p>
            <w:pPr>
              <w:spacing w:before="0" w:after="0" w:line="264" w:lineRule="auto"/>
            </w:pPr>
          </w:p>
        </w:tc>
      </w:tr>
      <w:tr>
        <w:tc>
          <w:tcPr>
            <w:tcW w:type="dxa" w:w="2594"/>
            <w:tcMar>
              <w:top w:w="80" w:type="dxa"/>
              <w:start w:w="85" w:type="dxa"/>
              <w:bottom w:w="80" w:type="dxa"/>
              <w:end w:w="85" w:type="dxa"/>
            </w:tcMar>
          </w:tcPr>
          <w:p>
            <w:pPr>
              <w:spacing w:before="0" w:after="0" w:line="264" w:lineRule="auto"/>
            </w:pPr>
            <w:r>
              <w:rPr>
                <w:rFonts w:ascii="Calibri" w:hAnsi="Calibri"/>
                <w:b/>
                <w:i w:val="0"/>
                <w:color w:val="2C3338"/>
                <w:sz w:val="16"/>
              </w:rPr>
              <w:t>Welfare event records</w:t>
            </w:r>
          </w:p>
        </w:tc>
        <w:tc>
          <w:tcPr>
            <w:tcW w:type="dxa" w:w="1596"/>
            <w:shd w:val="clear" w:color="auto" w:fill="F2F6FA"/>
            <w:tcMar>
              <w:top w:w="80" w:type="dxa"/>
              <w:start w:w="85" w:type="dxa"/>
              <w:bottom w:w="80" w:type="dxa"/>
              <w:end w:w="85" w:type="dxa"/>
            </w:tcMar>
          </w:tcPr>
          <w:p>
            <w:pPr>
              <w:spacing w:before="0" w:after="0" w:line="264" w:lineRule="auto"/>
            </w:pPr>
          </w:p>
        </w:tc>
        <w:tc>
          <w:tcPr>
            <w:tcW w:type="dxa" w:w="2993"/>
            <w:tcMar>
              <w:top w:w="80" w:type="dxa"/>
              <w:start w:w="85" w:type="dxa"/>
              <w:bottom w:w="80" w:type="dxa"/>
              <w:end w:w="85" w:type="dxa"/>
            </w:tcMar>
          </w:tcPr>
          <w:p>
            <w:pPr>
              <w:spacing w:before="0" w:after="0" w:line="264" w:lineRule="auto"/>
            </w:pPr>
            <w:r>
              <w:rPr>
                <w:rFonts w:ascii="Calibri" w:hAnsi="Calibri"/>
                <w:b w:val="0"/>
                <w:i w:val="0"/>
                <w:color w:val="4B4F58"/>
                <w:sz w:val="16"/>
              </w:rPr>
              <w:t>Incident response, review of false-alarm rate, and any consequential investigation.</w:t>
            </w:r>
          </w:p>
        </w:tc>
        <w:tc>
          <w:tcPr>
            <w:tcW w:type="dxa" w:w="2794"/>
            <w:shd w:val="clear" w:color="auto" w:fill="F2F6FA"/>
            <w:tcMar>
              <w:top w:w="80" w:type="dxa"/>
              <w:start w:w="85" w:type="dxa"/>
              <w:bottom w:w="80" w:type="dxa"/>
              <w:end w:w="85" w:type="dxa"/>
            </w:tcMar>
          </w:tcPr>
          <w:p>
            <w:pPr>
              <w:spacing w:before="0" w:after="0" w:line="264" w:lineRule="auto"/>
            </w:pPr>
          </w:p>
        </w:tc>
      </w:tr>
      <w:tr>
        <w:tc>
          <w:tcPr>
            <w:tcW w:type="dxa" w:w="2594"/>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CCTV footage, where in scope</w:t>
            </w:r>
          </w:p>
        </w:tc>
        <w:tc>
          <w:tcPr>
            <w:tcW w:type="dxa" w:w="1596"/>
            <w:shd w:val="clear" w:color="auto" w:fill="F2F6FA"/>
            <w:tcMar>
              <w:top w:w="80" w:type="dxa"/>
              <w:start w:w="85" w:type="dxa"/>
              <w:bottom w:w="80" w:type="dxa"/>
              <w:end w:w="85" w:type="dxa"/>
            </w:tcMar>
          </w:tcPr>
          <w:p>
            <w:pPr>
              <w:spacing w:before="0" w:after="0" w:line="264" w:lineRule="auto"/>
            </w:pPr>
          </w:p>
        </w:tc>
        <w:tc>
          <w:tcPr>
            <w:tcW w:type="dxa" w:w="2993"/>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Incident investigation only; normally days, not months.</w:t>
            </w:r>
          </w:p>
        </w:tc>
        <w:tc>
          <w:tcPr>
            <w:tcW w:type="dxa" w:w="2794"/>
            <w:shd w:val="clear" w:color="auto" w:fill="F2F6FA"/>
            <w:tcMar>
              <w:top w:w="80" w:type="dxa"/>
              <w:start w:w="85" w:type="dxa"/>
              <w:bottom w:w="80" w:type="dxa"/>
              <w:end w:w="85" w:type="dxa"/>
            </w:tcMar>
          </w:tcPr>
          <w:p>
            <w:pPr>
              <w:spacing w:before="0" w:after="0" w:line="264" w:lineRule="auto"/>
            </w:pPr>
          </w:p>
        </w:tc>
      </w:tr>
      <w:tr>
        <w:tc>
          <w:tcPr>
            <w:tcW w:type="dxa" w:w="2594"/>
            <w:tcMar>
              <w:top w:w="80" w:type="dxa"/>
              <w:start w:w="85" w:type="dxa"/>
              <w:bottom w:w="80" w:type="dxa"/>
              <w:end w:w="85" w:type="dxa"/>
            </w:tcMar>
          </w:tcPr>
          <w:p>
            <w:pPr>
              <w:spacing w:before="0" w:after="0" w:line="264" w:lineRule="auto"/>
            </w:pPr>
            <w:r>
              <w:rPr>
                <w:rFonts w:ascii="Calibri" w:hAnsi="Calibri"/>
                <w:b/>
                <w:i w:val="0"/>
                <w:color w:val="2C3338"/>
                <w:sz w:val="16"/>
              </w:rPr>
              <w:t>Access, audit and login logs</w:t>
            </w:r>
          </w:p>
        </w:tc>
        <w:tc>
          <w:tcPr>
            <w:tcW w:type="dxa" w:w="1596"/>
            <w:shd w:val="clear" w:color="auto" w:fill="F2F6FA"/>
            <w:tcMar>
              <w:top w:w="80" w:type="dxa"/>
              <w:start w:w="85" w:type="dxa"/>
              <w:bottom w:w="80" w:type="dxa"/>
              <w:end w:w="85" w:type="dxa"/>
            </w:tcMar>
          </w:tcPr>
          <w:p>
            <w:pPr>
              <w:spacing w:before="0" w:after="0" w:line="264" w:lineRule="auto"/>
            </w:pPr>
          </w:p>
        </w:tc>
        <w:tc>
          <w:tcPr>
            <w:tcW w:type="dxa" w:w="2993"/>
            <w:tcMar>
              <w:top w:w="80" w:type="dxa"/>
              <w:start w:w="85" w:type="dxa"/>
              <w:bottom w:w="80" w:type="dxa"/>
              <w:end w:w="85" w:type="dxa"/>
            </w:tcMar>
          </w:tcPr>
          <w:p>
            <w:pPr>
              <w:spacing w:before="0" w:after="0" w:line="264" w:lineRule="auto"/>
            </w:pPr>
            <w:r>
              <w:rPr>
                <w:rFonts w:ascii="Calibri" w:hAnsi="Calibri"/>
                <w:b w:val="0"/>
                <w:i w:val="0"/>
                <w:color w:val="4B4F58"/>
                <w:sz w:val="16"/>
              </w:rPr>
              <w:t>Security monitoring and accountability.</w:t>
            </w:r>
          </w:p>
        </w:tc>
        <w:tc>
          <w:tcPr>
            <w:tcW w:type="dxa" w:w="2794"/>
            <w:shd w:val="clear" w:color="auto" w:fill="F2F6FA"/>
            <w:tcMar>
              <w:top w:w="80" w:type="dxa"/>
              <w:start w:w="85" w:type="dxa"/>
              <w:bottom w:w="80" w:type="dxa"/>
              <w:end w:w="85" w:type="dxa"/>
            </w:tcMar>
          </w:tcPr>
          <w:p>
            <w:pPr>
              <w:spacing w:before="0" w:after="0" w:line="264" w:lineRule="auto"/>
            </w:pPr>
          </w:p>
        </w:tc>
      </w:tr>
      <w:tr>
        <w:tc>
          <w:tcPr>
            <w:tcW w:type="dxa" w:w="2594"/>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Exports held by the operator</w:t>
            </w:r>
          </w:p>
        </w:tc>
        <w:tc>
          <w:tcPr>
            <w:tcW w:type="dxa" w:w="1596"/>
            <w:shd w:val="clear" w:color="auto" w:fill="F2F6FA"/>
            <w:tcMar>
              <w:top w:w="80" w:type="dxa"/>
              <w:start w:w="85" w:type="dxa"/>
              <w:bottom w:w="80" w:type="dxa"/>
              <w:end w:w="85" w:type="dxa"/>
            </w:tcMar>
          </w:tcPr>
          <w:p>
            <w:pPr>
              <w:spacing w:before="0" w:after="0" w:line="264" w:lineRule="auto"/>
            </w:pPr>
          </w:p>
        </w:tc>
        <w:tc>
          <w:tcPr>
            <w:tcW w:type="dxa" w:w="2993"/>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Controlled by the operator once exported.</w:t>
            </w:r>
          </w:p>
        </w:tc>
        <w:tc>
          <w:tcPr>
            <w:tcW w:type="dxa" w:w="2794"/>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p>
      <w:pPr>
        <w:keepNext/>
        <w:spacing w:before="180" w:after="60" w:line="264" w:lineRule="auto"/>
      </w:pPr>
      <w:r>
        <w:rPr>
          <w:rFonts w:ascii="Calibri" w:hAnsi="Calibri"/>
          <w:b/>
          <w:i w:val="0"/>
          <w:color w:val="03273F"/>
          <w:sz w:val="24"/>
        </w:rPr>
        <w:t>3.6 Transparency</w:t>
      </w:r>
    </w:p>
    <w:p>
      <w:pPr>
        <w:spacing w:before="0" w:after="100" w:line="283" w:lineRule="auto"/>
      </w:pPr>
      <w:r>
        <w:rPr>
          <w:rFonts w:ascii="Calibri" w:hAnsi="Calibri"/>
          <w:b w:val="0"/>
          <w:i w:val="0"/>
          <w:color w:val="4B4F58"/>
          <w:sz w:val="19"/>
        </w:rPr>
        <w:t>Step 7 provides model wording. Record here how it will actually reach people: on-vehicle notices at the doors, a privacy notice section on your website, staff briefing and, where welfare monitoring affects drivers, consultation and written notification.</w:t>
      </w:r>
    </w:p>
    <w:tbl>
      <w:tblPr>
        <w:tblW w:type="auto" w:w="0"/>
        <w:tblBorders>
          <w:top w:val="none"/>
          <w:left w:val="none"/>
          <w:bottom w:val="none"/>
          <w:right w:val="none"/>
          <w:insideH w:val="none"/>
          <w:insideV w:val="none"/>
        </w:tblBorders>
        <w:tblLayout w:type="fixed"/>
        <w:tblLook w:firstColumn="1" w:firstRow="1" w:lastColumn="0" w:lastRow="0" w:noHBand="0" w:noVBand="1" w:val="04A0"/>
      </w:tblPr>
      <w:tblGrid>
        <w:gridCol w:w="9978"/>
      </w:tblGrid>
      <w:tr>
        <w:trPr>
          <w:cantSplit/>
        </w:trPr>
        <w:tc>
          <w:tcPr>
            <w:tcW w:type="dxa" w:w="9978"/>
            <w:tcMar>
              <w:top w:w="20" w:type="dxa"/>
              <w:start w:w="20" w:type="dxa"/>
              <w:bottom w:w="20" w:type="dxa"/>
              <w:end w:w="20" w:type="dxa"/>
            </w:tcMar>
          </w:tcPr>
          <w:p>
            <w:pPr>
              <w:keepNext/>
              <w:spacing w:before="0" w:after="20" w:line="240" w:lineRule="auto"/>
            </w:pPr>
            <w:r>
              <w:rPr>
                <w:rFonts w:ascii="Calibri" w:hAnsi="Calibri"/>
                <w:b/>
                <w:i w:val="0"/>
                <w:color w:val="19455E"/>
                <w:sz w:val="16"/>
              </w:rPr>
              <w:t>Transparency measures, locations and dates</w:t>
            </w:r>
          </w:p>
        </w:tc>
      </w:tr>
      <w:tr>
        <w:trPr>
          <w:cantSplit/>
        </w:trPr>
        <w:tc>
          <w:tcPr>
            <w:tcW w:type="dxa" w:w="9978"/>
            <w:tcBorders>
              <w:top w:val="single" w:sz="6" w:color="C9CFD6"/>
              <w:left w:val="single" w:sz="6" w:color="C9CFD6"/>
              <w:bottom w:val="single" w:sz="6" w:color="C9CFD6"/>
              <w:right w:val="single" w:sz="6" w:color="C9CFD6"/>
            </w:tcBorders>
            <w:shd w:val="clear" w:color="auto" w:fill="F2F6FA"/>
            <w:tcMar>
              <w:top w:w="60" w:type="dxa"/>
              <w:start w:w="90" w:type="dxa"/>
              <w:bottom w:w="60" w:type="dxa"/>
              <w:end w:w="90" w:type="dxa"/>
            </w:tcMar>
          </w:tcPr>
          <w:p>
            <w:pPr>
              <w:keepNext/>
              <w:spacing w:before="0" w:after="0" w:line="300" w:lineRule="auto"/>
            </w:pPr>
            <w:r>
              <w:rPr>
                <w:sz w:val="19"/>
              </w:rPr>
            </w:r>
          </w:p>
          <w:p>
            <w:pPr>
              <w:keepNext/>
              <w:spacing w:before="0" w:after="0" w:line="300" w:lineRule="auto"/>
            </w:pPr>
            <w:r>
              <w:rPr>
                <w:sz w:val="19"/>
              </w:rPr>
            </w:r>
          </w:p>
          <w:p>
            <w:pPr>
              <w:keepNext/>
              <w:spacing w:before="0" w:after="0" w:line="300" w:lineRule="auto"/>
            </w:pPr>
            <w:r>
              <w:rPr>
                <w:sz w:val="19"/>
              </w:rPr>
            </w:r>
          </w:p>
        </w:tc>
      </w:tr>
    </w:tbl>
    <w:tbl>
      <w:tblPr>
        <w:tblW w:type="auto" w:w="0"/>
        <w:jc w:val="left"/>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9978"/>
      </w:tblGrid>
      <w:tr>
        <w:trPr>
          <w:cantSplit/>
        </w:trPr>
        <w:tc>
          <w:tcPr>
            <w:tcW w:type="dxa" w:w="9978"/>
            <w:shd w:val="clear" w:color="auto" w:fill="03273F"/>
            <w:tcMar>
              <w:top w:w="150" w:type="dxa"/>
              <w:start w:w="170" w:type="dxa"/>
              <w:bottom w:w="150" w:type="dxa"/>
              <w:end w:w="170" w:type="dxa"/>
            </w:tcMar>
          </w:tcPr>
          <w:p>
            <w:pPr>
              <w:keepNext/>
              <w:spacing w:before="0" w:after="0" w:line="264" w:lineRule="auto"/>
            </w:pPr>
            <w:r>
              <w:rPr>
                <w:rFonts w:ascii="Calibri" w:hAnsi="Calibri"/>
                <w:b/>
                <w:color w:val="FFFFFF"/>
                <w:sz w:val="30"/>
              </w:rPr>
              <w:t>Step 4 — Lawful basis</w:t>
            </w:r>
          </w:p>
        </w:tc>
      </w:tr>
    </w:tbl>
    <w:p>
      <w:pPr>
        <w:keepNext/>
        <w:spacing w:before="0" w:after="60" w:line="240" w:lineRule="auto"/>
      </w:pPr>
    </w:p>
    <w:p>
      <w:pPr>
        <w:spacing w:before="0" w:after="100" w:line="283" w:lineRule="auto"/>
      </w:pPr>
      <w:r>
        <w:rPr>
          <w:rFonts w:ascii="Calibri" w:hAnsi="Calibri"/>
          <w:b w:val="0"/>
          <w:i w:val="0"/>
          <w:color w:val="4B4F58"/>
          <w:sz w:val="19"/>
        </w:rPr>
        <w:t>A lawful basis is only needed where personal data is processed. If, after Step 2, you are satisfied that the counting outputs are genuinely aggregate and cannot single out an individual, record that reasoning and note that UK GDPR does not apply to that data. Be conservative: if any element of the deployment processes personal data — welfare events, location that can be tied to a driver, CCTV, staff accounts — identify a basis for each of those elements.</w:t>
      </w:r>
    </w:p>
    <w:p>
      <w:pPr>
        <w:keepNext/>
        <w:spacing w:before="180" w:after="60" w:line="264" w:lineRule="auto"/>
      </w:pPr>
      <w:r>
        <w:rPr>
          <w:rFonts w:ascii="Calibri" w:hAnsi="Calibri"/>
          <w:b/>
          <w:i w:val="0"/>
          <w:color w:val="03273F"/>
          <w:sz w:val="24"/>
        </w:rPr>
        <w:t>4.1 Choosing a basis</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2195"/>
        <w:gridCol w:w="2794"/>
        <w:gridCol w:w="2993"/>
        <w:gridCol w:w="1996"/>
      </w:tblGrid>
      <w:tr>
        <w:trPr>
          <w:tblHeader w:val="true"/>
        </w:trPr>
        <w:tc>
          <w:tcPr>
            <w:tcW w:type="dxa" w:w="2195"/>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Basis</w:t>
            </w:r>
          </w:p>
        </w:tc>
        <w:tc>
          <w:tcPr>
            <w:tcW w:type="dxa" w:w="2794"/>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Who it typically suits</w:t>
            </w:r>
          </w:p>
        </w:tc>
        <w:tc>
          <w:tcPr>
            <w:tcW w:type="dxa" w:w="29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What you must be able to show</w:t>
            </w:r>
          </w:p>
        </w:tc>
        <w:tc>
          <w:tcPr>
            <w:tcW w:type="dxa" w:w="1996"/>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Selected?</w:t>
            </w:r>
          </w:p>
        </w:tc>
      </w:tr>
      <w:tr>
        <w:tc>
          <w:tcPr>
            <w:tcW w:type="dxa" w:w="2195"/>
            <w:tcMar>
              <w:top w:w="80" w:type="dxa"/>
              <w:start w:w="85" w:type="dxa"/>
              <w:bottom w:w="80" w:type="dxa"/>
              <w:end w:w="85" w:type="dxa"/>
            </w:tcMar>
          </w:tcPr>
          <w:p>
            <w:pPr>
              <w:spacing w:before="0" w:after="0" w:line="264" w:lineRule="auto"/>
            </w:pPr>
            <w:r>
              <w:rPr>
                <w:rFonts w:ascii="Calibri" w:hAnsi="Calibri"/>
                <w:b/>
                <w:i w:val="0"/>
                <w:color w:val="2C3338"/>
                <w:sz w:val="16"/>
              </w:rPr>
              <w:t>Public task — Article 6(1)(e)</w:t>
            </w:r>
          </w:p>
        </w:tc>
        <w:tc>
          <w:tcPr>
            <w:tcW w:type="dxa" w:w="2794"/>
            <w:tcMar>
              <w:top w:w="80" w:type="dxa"/>
              <w:start w:w="85" w:type="dxa"/>
              <w:bottom w:w="80" w:type="dxa"/>
              <w:end w:w="85" w:type="dxa"/>
            </w:tcMar>
          </w:tcPr>
          <w:p>
            <w:pPr>
              <w:spacing w:before="0" w:after="0" w:line="264" w:lineRule="auto"/>
            </w:pPr>
            <w:r>
              <w:rPr>
                <w:rFonts w:ascii="Calibri" w:hAnsi="Calibri"/>
                <w:b w:val="0"/>
                <w:i w:val="0"/>
                <w:color w:val="4B4F58"/>
                <w:sz w:val="16"/>
              </w:rPr>
              <w:t>Local transport authorities, passenger transport executives, and other public authorities carrying out their transport functions.</w:t>
            </w:r>
          </w:p>
        </w:tc>
        <w:tc>
          <w:tcPr>
            <w:tcW w:type="dxa" w:w="2993"/>
            <w:tcMar>
              <w:top w:w="80" w:type="dxa"/>
              <w:start w:w="85" w:type="dxa"/>
              <w:bottom w:w="80" w:type="dxa"/>
              <w:end w:w="85" w:type="dxa"/>
            </w:tcMar>
          </w:tcPr>
          <w:p>
            <w:pPr>
              <w:spacing w:before="0" w:after="0" w:line="264" w:lineRule="auto"/>
            </w:pPr>
            <w:r>
              <w:rPr>
                <w:rFonts w:ascii="Calibri" w:hAnsi="Calibri"/>
                <w:b w:val="0"/>
                <w:i w:val="0"/>
                <w:color w:val="4B4F58"/>
                <w:sz w:val="16"/>
              </w:rPr>
              <w:t>A task, function or power laid down in law, and that the processing is necessary for it. The basis is not automatic merely because you are a public body (</w:t>
            </w:r>
            <w:hyperlink r:id="rId16">
              <w:r>
                <w:rPr>
                  <w:rFonts w:ascii="Calibri" w:hAnsi="Calibri"/>
                  <w:color w:val="19455E"/>
                  <w:u w:val="single"/>
                  <w:sz w:val="16"/>
                </w:rPr>
                <w:t xml:space="preserve">ICO public task guidance</w:t>
              </w:r>
            </w:hyperlink>
            <w:r>
              <w:rPr>
                <w:rFonts w:ascii="Calibri" w:hAnsi="Calibri"/>
                <w:b w:val="0"/>
                <w:i w:val="0"/>
                <w:color w:val="4B4F58"/>
                <w:sz w:val="16"/>
              </w:rPr>
              <w:t>).</w:t>
            </w:r>
          </w:p>
        </w:tc>
        <w:tc>
          <w:tcPr>
            <w:tcW w:type="dxa" w:w="1996"/>
            <w:shd w:val="clear" w:color="auto" w:fill="F2F6FA"/>
            <w:tcMar>
              <w:top w:w="80" w:type="dxa"/>
              <w:start w:w="85" w:type="dxa"/>
              <w:bottom w:w="80" w:type="dxa"/>
              <w:end w:w="85" w:type="dxa"/>
            </w:tcMar>
          </w:tcPr>
          <w:p>
            <w:pPr>
              <w:spacing w:before="0" w:after="0" w:line="264" w:lineRule="auto"/>
            </w:pPr>
          </w:p>
        </w:tc>
      </w:tr>
      <w:tr>
        <w:tc>
          <w:tcPr>
            <w:tcW w:type="dxa" w:w="21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Legitimate interests — Article 6(1)(f)</w:t>
            </w:r>
          </w:p>
        </w:tc>
        <w:tc>
          <w:tcPr>
            <w:tcW w:type="dxa" w:w="2794"/>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Commercial bus and shuttle operators, including campus and healthcare shuttle operators.</w:t>
            </w:r>
          </w:p>
        </w:tc>
        <w:tc>
          <w:tcPr>
            <w:tcW w:type="dxa" w:w="2993"/>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A documented legitimate interests assessment covering purpose, necessity and balancing, including passengers’ reasonable expectations (</w:t>
            </w:r>
            <w:hyperlink r:id="rId17">
              <w:r>
                <w:rPr>
                  <w:rFonts w:ascii="Calibri" w:hAnsi="Calibri"/>
                  <w:color w:val="19455E"/>
                  <w:u w:val="single"/>
                  <w:sz w:val="16"/>
                </w:rPr>
                <w:t xml:space="preserve">ICO legitimate interests guidance</w:t>
              </w:r>
            </w:hyperlink>
            <w:r>
              <w:rPr>
                <w:rFonts w:ascii="Calibri" w:hAnsi="Calibri"/>
                <w:b w:val="0"/>
                <w:i w:val="0"/>
                <w:color w:val="4B4F58"/>
                <w:sz w:val="16"/>
              </w:rPr>
              <w:t>).</w:t>
            </w:r>
          </w:p>
        </w:tc>
        <w:tc>
          <w:tcPr>
            <w:tcW w:type="dxa" w:w="1996"/>
            <w:shd w:val="clear" w:color="auto" w:fill="F2F6FA"/>
            <w:tcMar>
              <w:top w:w="80" w:type="dxa"/>
              <w:start w:w="85" w:type="dxa"/>
              <w:bottom w:w="80" w:type="dxa"/>
              <w:end w:w="85" w:type="dxa"/>
            </w:tcMar>
          </w:tcPr>
          <w:p>
            <w:pPr>
              <w:spacing w:before="0" w:after="0" w:line="264" w:lineRule="auto"/>
            </w:pPr>
          </w:p>
        </w:tc>
      </w:tr>
      <w:tr>
        <w:tc>
          <w:tcPr>
            <w:tcW w:type="dxa" w:w="2195"/>
            <w:tcMar>
              <w:top w:w="80" w:type="dxa"/>
              <w:start w:w="85" w:type="dxa"/>
              <w:bottom w:w="80" w:type="dxa"/>
              <w:end w:w="85" w:type="dxa"/>
            </w:tcMar>
          </w:tcPr>
          <w:p>
            <w:pPr>
              <w:spacing w:before="0" w:after="0" w:line="264" w:lineRule="auto"/>
            </w:pPr>
            <w:r>
              <w:rPr>
                <w:rFonts w:ascii="Calibri" w:hAnsi="Calibri"/>
                <w:b/>
                <w:i w:val="0"/>
                <w:color w:val="2C3338"/>
                <w:sz w:val="16"/>
              </w:rPr>
              <w:t>Legal obligation — Article 6(1)(c)</w:t>
            </w:r>
          </w:p>
        </w:tc>
        <w:tc>
          <w:tcPr>
            <w:tcW w:type="dxa" w:w="2794"/>
            <w:tcMar>
              <w:top w:w="80" w:type="dxa"/>
              <w:start w:w="85" w:type="dxa"/>
              <w:bottom w:w="80" w:type="dxa"/>
              <w:end w:w="85" w:type="dxa"/>
            </w:tcMar>
          </w:tcPr>
          <w:p>
            <w:pPr>
              <w:spacing w:before="0" w:after="0" w:line="264" w:lineRule="auto"/>
            </w:pPr>
            <w:r>
              <w:rPr>
                <w:rFonts w:ascii="Calibri" w:hAnsi="Calibri"/>
                <w:b w:val="0"/>
                <w:i w:val="0"/>
                <w:color w:val="4B4F58"/>
                <w:sz w:val="16"/>
              </w:rPr>
              <w:t>Rarely the basis for counting itself; may apply to specific reporting duties.</w:t>
            </w:r>
          </w:p>
        </w:tc>
        <w:tc>
          <w:tcPr>
            <w:tcW w:type="dxa" w:w="2993"/>
            <w:tcMar>
              <w:top w:w="80" w:type="dxa"/>
              <w:start w:w="85" w:type="dxa"/>
              <w:bottom w:w="80" w:type="dxa"/>
              <w:end w:w="85" w:type="dxa"/>
            </w:tcMar>
          </w:tcPr>
          <w:p>
            <w:pPr>
              <w:spacing w:before="0" w:after="0" w:line="264" w:lineRule="auto"/>
            </w:pPr>
            <w:r>
              <w:rPr>
                <w:rFonts w:ascii="Calibri" w:hAnsi="Calibri"/>
                <w:b w:val="0"/>
                <w:i w:val="0"/>
                <w:color w:val="4B4F58"/>
                <w:sz w:val="16"/>
              </w:rPr>
              <w:t>The obligation, and that the processing is necessary to comply with it.</w:t>
            </w:r>
          </w:p>
        </w:tc>
        <w:tc>
          <w:tcPr>
            <w:tcW w:type="dxa" w:w="1996"/>
            <w:shd w:val="clear" w:color="auto" w:fill="F2F6FA"/>
            <w:tcMar>
              <w:top w:w="80" w:type="dxa"/>
              <w:start w:w="85" w:type="dxa"/>
              <w:bottom w:w="80" w:type="dxa"/>
              <w:end w:w="85" w:type="dxa"/>
            </w:tcMar>
          </w:tcPr>
          <w:p>
            <w:pPr>
              <w:spacing w:before="0" w:after="0" w:line="264" w:lineRule="auto"/>
            </w:pPr>
          </w:p>
        </w:tc>
      </w:tr>
      <w:tr>
        <w:tc>
          <w:tcPr>
            <w:tcW w:type="dxa" w:w="21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Consent — Article 6(1)(a)</w:t>
            </w:r>
          </w:p>
        </w:tc>
        <w:tc>
          <w:tcPr>
            <w:tcW w:type="dxa" w:w="2794"/>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Not recommended for this processing.</w:t>
            </w:r>
          </w:p>
        </w:tc>
        <w:tc>
          <w:tcPr>
            <w:tcW w:type="dxa" w:w="2993"/>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Freely given, specific, informed and unambiguous consent, capable of being withdrawn without detriment.</w:t>
            </w:r>
          </w:p>
        </w:tc>
        <w:tc>
          <w:tcPr>
            <w:tcW w:type="dxa" w:w="1996"/>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p>
      <w:pPr>
        <w:keepNext/>
        <w:spacing w:before="180" w:after="60" w:line="264" w:lineRule="auto"/>
      </w:pPr>
      <w:r>
        <w:rPr>
          <w:rFonts w:ascii="Calibri" w:hAnsi="Calibri"/>
          <w:b/>
          <w:i w:val="0"/>
          <w:color w:val="03273F"/>
          <w:sz w:val="24"/>
        </w:rPr>
        <w:t>4.2 Why consent does not work at a bus door</w:t>
      </w:r>
    </w:p>
    <w:p>
      <w:pPr>
        <w:spacing w:before="0" w:after="100" w:line="283" w:lineRule="auto"/>
      </w:pPr>
      <w:r>
        <w:rPr>
          <w:rFonts w:ascii="Calibri" w:hAnsi="Calibri"/>
          <w:b w:val="0"/>
          <w:i w:val="0"/>
          <w:color w:val="4B4F58"/>
          <w:sz w:val="19"/>
        </w:rPr>
        <w:t>Consent must be a real choice. A passenger boarding a bus cannot meaningfully agree or refuse at the door: there is no opportunity to read a notice and decide before the sensor above the door registers the boarding, refusal would mean not travelling, and there is no practical mechanism to count some passengers and not others. Relying on consent here would also produce an incomplete data set, which undermines the planning purpose. Neither is contractual necessity a shortcut: carrying a passenger does not require counting them, still less observing their behaviour.</w:t>
      </w:r>
    </w:p>
    <w:p>
      <w:pPr>
        <w:keepNext/>
        <w:spacing w:before="180" w:after="60" w:line="264" w:lineRule="auto"/>
      </w:pPr>
      <w:r>
        <w:rPr>
          <w:rFonts w:ascii="Calibri" w:hAnsi="Calibri"/>
          <w:b/>
          <w:i w:val="0"/>
          <w:color w:val="03273F"/>
          <w:sz w:val="24"/>
        </w:rPr>
        <w:t>4.3 Legitimate interests assessment (commercial operators)</w:t>
      </w:r>
    </w:p>
    <w:p>
      <w:pPr>
        <w:spacing w:before="0" w:after="100" w:line="283" w:lineRule="auto"/>
      </w:pPr>
      <w:r>
        <w:rPr>
          <w:rFonts w:ascii="Calibri" w:hAnsi="Calibri"/>
          <w:b w:val="0"/>
          <w:i w:val="0"/>
          <w:color w:val="4B4F58"/>
          <w:sz w:val="19"/>
        </w:rPr>
        <w:t>Complete all three parts. A legitimate interests assessment that records only the benefit to the operator has not done the balancing.</w:t>
      </w:r>
    </w:p>
    <w:p>
      <w:pPr>
        <w:keepNext/>
        <w:spacing w:before="120" w:after="40" w:line="264" w:lineRule="auto"/>
      </w:pPr>
      <w:r>
        <w:rPr>
          <w:rFonts w:ascii="Calibri" w:hAnsi="Calibri"/>
          <w:b/>
          <w:i w:val="0"/>
          <w:color w:val="19455E"/>
          <w:sz w:val="21"/>
        </w:rPr>
        <w:t>Part 1 — Purpose test</w:t>
      </w:r>
    </w:p>
    <w:tbl>
      <w:tblPr>
        <w:tblW w:type="auto" w:w="0"/>
        <w:tblBorders>
          <w:top w:val="none"/>
          <w:left w:val="none"/>
          <w:bottom w:val="none"/>
          <w:right w:val="none"/>
          <w:insideH w:val="none"/>
          <w:insideV w:val="none"/>
        </w:tblBorders>
        <w:tblLayout w:type="fixed"/>
        <w:tblLook w:firstColumn="1" w:firstRow="1" w:lastColumn="0" w:lastRow="0" w:noHBand="0" w:noVBand="1" w:val="04A0"/>
      </w:tblPr>
      <w:tblGrid>
        <w:gridCol w:w="9978"/>
      </w:tblGrid>
      <w:tr>
        <w:trPr>
          <w:cantSplit/>
        </w:trPr>
        <w:tc>
          <w:tcPr>
            <w:tcW w:type="dxa" w:w="9978"/>
            <w:tcMar>
              <w:top w:w="20" w:type="dxa"/>
              <w:start w:w="20" w:type="dxa"/>
              <w:bottom w:w="20" w:type="dxa"/>
              <w:end w:w="20" w:type="dxa"/>
            </w:tcMar>
          </w:tcPr>
          <w:p>
            <w:pPr>
              <w:keepNext/>
              <w:spacing w:before="0" w:after="20" w:line="240" w:lineRule="auto"/>
            </w:pPr>
            <w:r>
              <w:rPr>
                <w:rFonts w:ascii="Calibri" w:hAnsi="Calibri"/>
                <w:b/>
                <w:i w:val="0"/>
                <w:color w:val="19455E"/>
                <w:sz w:val="16"/>
              </w:rPr>
              <w:t>What is the legitimate interest? Who benefits, and how substantial is the benefit?</w:t>
            </w:r>
          </w:p>
        </w:tc>
      </w:tr>
      <w:tr>
        <w:trPr>
          <w:cantSplit/>
        </w:trPr>
        <w:tc>
          <w:tcPr>
            <w:tcW w:type="dxa" w:w="9978"/>
            <w:tcBorders>
              <w:top w:val="single" w:sz="6" w:color="C9CFD6"/>
              <w:left w:val="single" w:sz="6" w:color="C9CFD6"/>
              <w:bottom w:val="single" w:sz="6" w:color="C9CFD6"/>
              <w:right w:val="single" w:sz="6" w:color="C9CFD6"/>
            </w:tcBorders>
            <w:shd w:val="clear" w:color="auto" w:fill="F2F6FA"/>
            <w:tcMar>
              <w:top w:w="60" w:type="dxa"/>
              <w:start w:w="90" w:type="dxa"/>
              <w:bottom w:w="60" w:type="dxa"/>
              <w:end w:w="90" w:type="dxa"/>
            </w:tcMar>
          </w:tcPr>
          <w:p>
            <w:pPr>
              <w:keepNext/>
              <w:spacing w:before="0" w:after="0" w:line="300" w:lineRule="auto"/>
            </w:pPr>
            <w:r>
              <w:rPr>
                <w:sz w:val="19"/>
              </w:rPr>
            </w:r>
          </w:p>
          <w:p>
            <w:pPr>
              <w:keepNext/>
              <w:spacing w:before="0" w:after="0" w:line="300" w:lineRule="auto"/>
            </w:pPr>
            <w:r>
              <w:rPr>
                <w:sz w:val="19"/>
              </w:rPr>
            </w:r>
          </w:p>
          <w:p>
            <w:pPr>
              <w:keepNext/>
              <w:spacing w:before="0" w:after="0" w:line="300" w:lineRule="auto"/>
            </w:pPr>
            <w:r>
              <w:rPr>
                <w:sz w:val="19"/>
              </w:rPr>
            </w:r>
          </w:p>
        </w:tc>
      </w:tr>
    </w:tbl>
    <w:p>
      <w:pPr>
        <w:keepNext/>
        <w:spacing w:before="120" w:after="40" w:line="264" w:lineRule="auto"/>
      </w:pPr>
      <w:r>
        <w:rPr>
          <w:rFonts w:ascii="Calibri" w:hAnsi="Calibri"/>
          <w:b/>
          <w:i w:val="0"/>
          <w:color w:val="19455E"/>
          <w:sz w:val="21"/>
        </w:rPr>
        <w:t>Part 2 — Necessity test</w:t>
      </w:r>
    </w:p>
    <w:tbl>
      <w:tblPr>
        <w:tblW w:type="auto" w:w="0"/>
        <w:tblBorders>
          <w:top w:val="none"/>
          <w:left w:val="none"/>
          <w:bottom w:val="none"/>
          <w:right w:val="none"/>
          <w:insideH w:val="none"/>
          <w:insideV w:val="none"/>
        </w:tblBorders>
        <w:tblLayout w:type="fixed"/>
        <w:tblLook w:firstColumn="1" w:firstRow="1" w:lastColumn="0" w:lastRow="0" w:noHBand="0" w:noVBand="1" w:val="04A0"/>
      </w:tblPr>
      <w:tblGrid>
        <w:gridCol w:w="9978"/>
      </w:tblGrid>
      <w:tr>
        <w:trPr>
          <w:cantSplit/>
        </w:trPr>
        <w:tc>
          <w:tcPr>
            <w:tcW w:type="dxa" w:w="9978"/>
            <w:tcMar>
              <w:top w:w="20" w:type="dxa"/>
              <w:start w:w="20" w:type="dxa"/>
              <w:bottom w:w="20" w:type="dxa"/>
              <w:end w:w="20" w:type="dxa"/>
            </w:tcMar>
          </w:tcPr>
          <w:p>
            <w:pPr>
              <w:keepNext/>
              <w:spacing w:before="0" w:after="20" w:line="240" w:lineRule="auto"/>
            </w:pPr>
            <w:r>
              <w:rPr>
                <w:rFonts w:ascii="Calibri" w:hAnsi="Calibri"/>
                <w:b/>
                <w:i w:val="0"/>
                <w:color w:val="19455E"/>
                <w:sz w:val="16"/>
              </w:rPr>
              <w:t>Why is this processing necessary to achieve that interest? What less intrusive means were rejected, and why?</w:t>
            </w:r>
          </w:p>
        </w:tc>
      </w:tr>
      <w:tr>
        <w:trPr>
          <w:cantSplit/>
        </w:trPr>
        <w:tc>
          <w:tcPr>
            <w:tcW w:type="dxa" w:w="9978"/>
            <w:tcBorders>
              <w:top w:val="single" w:sz="6" w:color="C9CFD6"/>
              <w:left w:val="single" w:sz="6" w:color="C9CFD6"/>
              <w:bottom w:val="single" w:sz="6" w:color="C9CFD6"/>
              <w:right w:val="single" w:sz="6" w:color="C9CFD6"/>
            </w:tcBorders>
            <w:shd w:val="clear" w:color="auto" w:fill="F2F6FA"/>
            <w:tcMar>
              <w:top w:w="60" w:type="dxa"/>
              <w:start w:w="90" w:type="dxa"/>
              <w:bottom w:w="60" w:type="dxa"/>
              <w:end w:w="90" w:type="dxa"/>
            </w:tcMar>
          </w:tcPr>
          <w:p>
            <w:pPr>
              <w:keepNext/>
              <w:spacing w:before="0" w:after="0" w:line="300" w:lineRule="auto"/>
            </w:pPr>
            <w:r>
              <w:rPr>
                <w:sz w:val="19"/>
              </w:rPr>
            </w:r>
          </w:p>
          <w:p>
            <w:pPr>
              <w:keepNext/>
              <w:spacing w:before="0" w:after="0" w:line="300" w:lineRule="auto"/>
            </w:pPr>
            <w:r>
              <w:rPr>
                <w:sz w:val="19"/>
              </w:rPr>
            </w:r>
          </w:p>
          <w:p>
            <w:pPr>
              <w:keepNext/>
              <w:spacing w:before="0" w:after="0" w:line="300" w:lineRule="auto"/>
            </w:pPr>
            <w:r>
              <w:rPr>
                <w:sz w:val="19"/>
              </w:rPr>
            </w:r>
          </w:p>
        </w:tc>
      </w:tr>
    </w:tbl>
    <w:p>
      <w:pPr>
        <w:keepNext/>
        <w:spacing w:before="120" w:after="40" w:line="264" w:lineRule="auto"/>
      </w:pPr>
      <w:r>
        <w:rPr>
          <w:rFonts w:ascii="Calibri" w:hAnsi="Calibri"/>
          <w:b/>
          <w:i w:val="0"/>
          <w:color w:val="19455E"/>
          <w:sz w:val="21"/>
        </w:rPr>
        <w:t>Part 3 — Balancing test</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3393"/>
        <w:gridCol w:w="6585"/>
      </w:tblGrid>
      <w:tr>
        <w:trPr>
          <w:tblHeader w:val="true"/>
        </w:trPr>
        <w:tc>
          <w:tcPr>
            <w:tcW w:type="dxa" w:w="33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Consideration</w:t>
            </w:r>
          </w:p>
        </w:tc>
        <w:tc>
          <w:tcPr>
            <w:tcW w:type="dxa" w:w="6585"/>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Assessment</w:t>
            </w:r>
          </w:p>
        </w:tc>
      </w:tr>
      <w:tr>
        <w:tc>
          <w:tcPr>
            <w:tcW w:type="dxa" w:w="3393"/>
            <w:tcMar>
              <w:top w:w="80" w:type="dxa"/>
              <w:start w:w="85" w:type="dxa"/>
              <w:bottom w:w="80" w:type="dxa"/>
              <w:end w:w="85" w:type="dxa"/>
            </w:tcMar>
          </w:tcPr>
          <w:p>
            <w:pPr>
              <w:spacing w:before="0" w:after="0" w:line="264" w:lineRule="auto"/>
            </w:pPr>
            <w:r>
              <w:rPr>
                <w:rFonts w:ascii="Calibri" w:hAnsi="Calibri"/>
                <w:b/>
                <w:i w:val="0"/>
                <w:color w:val="2C3338"/>
                <w:sz w:val="16"/>
              </w:rPr>
              <w:t>Nature of the data — aggregate counts, location, behavioural inference, images</w:t>
            </w:r>
          </w:p>
        </w:tc>
        <w:tc>
          <w:tcPr>
            <w:tcW w:type="dxa" w:w="6585"/>
            <w:shd w:val="clear" w:color="auto" w:fill="F2F6FA"/>
            <w:tcMar>
              <w:top w:w="80" w:type="dxa"/>
              <w:start w:w="85" w:type="dxa"/>
              <w:bottom w:w="80" w:type="dxa"/>
              <w:end w:w="85" w:type="dxa"/>
            </w:tcMar>
          </w:tcPr>
          <w:p>
            <w:pPr>
              <w:spacing w:before="0" w:after="0" w:line="264" w:lineRule="auto"/>
            </w:pPr>
          </w:p>
        </w:tc>
      </w:tr>
      <w:tr>
        <w:tc>
          <w:tcPr>
            <w:tcW w:type="dxa" w:w="3393"/>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Reasonable expectations of passengers — would a reasonable passenger expect counting? Would they expect behavioural analysis?</w:t>
            </w:r>
          </w:p>
        </w:tc>
        <w:tc>
          <w:tcPr>
            <w:tcW w:type="dxa" w:w="6585"/>
            <w:shd w:val="clear" w:color="auto" w:fill="F2F6FA"/>
            <w:tcMar>
              <w:top w:w="80" w:type="dxa"/>
              <w:start w:w="85" w:type="dxa"/>
              <w:bottom w:w="80" w:type="dxa"/>
              <w:end w:w="85" w:type="dxa"/>
            </w:tcMar>
          </w:tcPr>
          <w:p>
            <w:pPr>
              <w:spacing w:before="0" w:after="0" w:line="264" w:lineRule="auto"/>
            </w:pPr>
          </w:p>
        </w:tc>
      </w:tr>
      <w:tr>
        <w:tc>
          <w:tcPr>
            <w:tcW w:type="dxa" w:w="3393"/>
            <w:tcMar>
              <w:top w:w="80" w:type="dxa"/>
              <w:start w:w="85" w:type="dxa"/>
              <w:bottom w:w="80" w:type="dxa"/>
              <w:end w:w="85" w:type="dxa"/>
            </w:tcMar>
          </w:tcPr>
          <w:p>
            <w:pPr>
              <w:spacing w:before="0" w:after="0" w:line="264" w:lineRule="auto"/>
            </w:pPr>
            <w:r>
              <w:rPr>
                <w:rFonts w:ascii="Calibri" w:hAnsi="Calibri"/>
                <w:b/>
                <w:i w:val="0"/>
                <w:color w:val="2C3338"/>
                <w:sz w:val="16"/>
              </w:rPr>
              <w:t>Reasonable expectations of staff, where the sensing could observe drivers</w:t>
            </w:r>
          </w:p>
        </w:tc>
        <w:tc>
          <w:tcPr>
            <w:tcW w:type="dxa" w:w="6585"/>
            <w:shd w:val="clear" w:color="auto" w:fill="F2F6FA"/>
            <w:tcMar>
              <w:top w:w="80" w:type="dxa"/>
              <w:start w:w="85" w:type="dxa"/>
              <w:bottom w:w="80" w:type="dxa"/>
              <w:end w:w="85" w:type="dxa"/>
            </w:tcMar>
          </w:tcPr>
          <w:p>
            <w:pPr>
              <w:spacing w:before="0" w:after="0" w:line="264" w:lineRule="auto"/>
            </w:pPr>
          </w:p>
        </w:tc>
      </w:tr>
      <w:tr>
        <w:tc>
          <w:tcPr>
            <w:tcW w:type="dxa" w:w="3393"/>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Possible impact on individuals — intrusion, chilling effect, wrongful intervention, consequences of an inaccurate record</w:t>
            </w:r>
          </w:p>
        </w:tc>
        <w:tc>
          <w:tcPr>
            <w:tcW w:type="dxa" w:w="6585"/>
            <w:shd w:val="clear" w:color="auto" w:fill="F2F6FA"/>
            <w:tcMar>
              <w:top w:w="80" w:type="dxa"/>
              <w:start w:w="85" w:type="dxa"/>
              <w:bottom w:w="80" w:type="dxa"/>
              <w:end w:w="85" w:type="dxa"/>
            </w:tcMar>
          </w:tcPr>
          <w:p>
            <w:pPr>
              <w:spacing w:before="0" w:after="0" w:line="264" w:lineRule="auto"/>
            </w:pPr>
          </w:p>
        </w:tc>
      </w:tr>
      <w:tr>
        <w:tc>
          <w:tcPr>
            <w:tcW w:type="dxa" w:w="3393"/>
            <w:tcMar>
              <w:top w:w="80" w:type="dxa"/>
              <w:start w:w="85" w:type="dxa"/>
              <w:bottom w:w="80" w:type="dxa"/>
              <w:end w:w="85" w:type="dxa"/>
            </w:tcMar>
          </w:tcPr>
          <w:p>
            <w:pPr>
              <w:spacing w:before="0" w:after="0" w:line="264" w:lineRule="auto"/>
            </w:pPr>
            <w:r>
              <w:rPr>
                <w:rFonts w:ascii="Calibri" w:hAnsi="Calibri"/>
                <w:b/>
                <w:i w:val="0"/>
                <w:color w:val="2C3338"/>
                <w:sz w:val="16"/>
              </w:rPr>
              <w:t>Vulnerable individuals — children, patients, disabled passengers, lone travellers</w:t>
            </w:r>
          </w:p>
        </w:tc>
        <w:tc>
          <w:tcPr>
            <w:tcW w:type="dxa" w:w="6585"/>
            <w:shd w:val="clear" w:color="auto" w:fill="F2F6FA"/>
            <w:tcMar>
              <w:top w:w="80" w:type="dxa"/>
              <w:start w:w="85" w:type="dxa"/>
              <w:bottom w:w="80" w:type="dxa"/>
              <w:end w:w="85" w:type="dxa"/>
            </w:tcMar>
          </w:tcPr>
          <w:p>
            <w:pPr>
              <w:spacing w:before="0" w:after="0" w:line="264" w:lineRule="auto"/>
            </w:pPr>
          </w:p>
        </w:tc>
      </w:tr>
      <w:tr>
        <w:tc>
          <w:tcPr>
            <w:tcW w:type="dxa" w:w="3393"/>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Safeguards applied — minimisation, on-device processing, retention limits, access control, suppression of alerts on untrusted data</w:t>
            </w:r>
          </w:p>
        </w:tc>
        <w:tc>
          <w:tcPr>
            <w:tcW w:type="dxa" w:w="6585"/>
            <w:shd w:val="clear" w:color="auto" w:fill="F2F6FA"/>
            <w:tcMar>
              <w:top w:w="80" w:type="dxa"/>
              <w:start w:w="85" w:type="dxa"/>
              <w:bottom w:w="80" w:type="dxa"/>
              <w:end w:w="85" w:type="dxa"/>
            </w:tcMar>
          </w:tcPr>
          <w:p>
            <w:pPr>
              <w:spacing w:before="0" w:after="0" w:line="264" w:lineRule="auto"/>
            </w:pPr>
          </w:p>
        </w:tc>
      </w:tr>
      <w:tr>
        <w:tc>
          <w:tcPr>
            <w:tcW w:type="dxa" w:w="3393"/>
            <w:tcMar>
              <w:top w:w="80" w:type="dxa"/>
              <w:start w:w="85" w:type="dxa"/>
              <w:bottom w:w="80" w:type="dxa"/>
              <w:end w:w="85" w:type="dxa"/>
            </w:tcMar>
          </w:tcPr>
          <w:p>
            <w:pPr>
              <w:spacing w:before="0" w:after="0" w:line="264" w:lineRule="auto"/>
            </w:pPr>
            <w:r>
              <w:rPr>
                <w:rFonts w:ascii="Calibri" w:hAnsi="Calibri"/>
                <w:b/>
                <w:i w:val="0"/>
                <w:color w:val="2C3338"/>
                <w:sz w:val="16"/>
              </w:rPr>
              <w:t>Conclusion — does the interest outweigh the effect on individuals, and on what reasoning?</w:t>
            </w:r>
          </w:p>
        </w:tc>
        <w:tc>
          <w:tcPr>
            <w:tcW w:type="dxa" w:w="6585"/>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tbl>
      <w:tblPr>
        <w:tblW w:type="auto" w:w="0"/>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4989"/>
        <w:gridCol w:w="4989"/>
      </w:tblGrid>
      <w:tr>
        <w:trPr>
          <w:cantSplit/>
        </w:trPr>
        <w:tc>
          <w:tcPr>
            <w:tcW w:type="dxa" w:w="4989"/>
            <w:tcMar>
              <w:top w:w="0" w:type="dxa"/>
              <w:start w:w="0" w:type="dxa"/>
              <w:bottom w:w="0" w:type="dxa"/>
              <w:end w:w="110" w:type="dxa"/>
            </w:tcMar>
          </w:tcPr>
          <w:p>
            <w:pPr>
              <w:keepNext/>
              <w:spacing w:before="0" w:after="20" w:line="240" w:lineRule="auto"/>
            </w:pPr>
            <w:r>
              <w:rPr>
                <w:rFonts w:ascii="Calibri" w:hAnsi="Calibri"/>
                <w:b/>
                <w:i w:val="0"/>
                <w:color w:val="19455E"/>
                <w:sz w:val="16"/>
              </w:rPr>
              <w:t>Completed by</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c>
          <w:tcPr>
            <w:tcW w:type="dxa" w:w="4989"/>
            <w:tcMar>
              <w:top w:w="0" w:type="dxa"/>
              <w:start w:w="0" w:type="dxa"/>
              <w:bottom w:w="0" w:type="dxa"/>
              <w:end w:w="0" w:type="dxa"/>
            </w:tcMar>
          </w:tcPr>
          <w:p>
            <w:pPr>
              <w:keepNext/>
              <w:spacing w:before="0" w:after="20" w:line="240" w:lineRule="auto"/>
            </w:pPr>
            <w:r>
              <w:rPr>
                <w:rFonts w:ascii="Calibri" w:hAnsi="Calibri"/>
                <w:b/>
                <w:i w:val="0"/>
                <w:color w:val="19455E"/>
                <w:sz w:val="16"/>
              </w:rPr>
              <w:t>Date</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r>
    </w:tbl>
    <w:p>
      <w:pPr>
        <w:spacing w:before="0" w:after="80" w:line="240" w:lineRule="auto"/>
      </w:pPr>
    </w:p>
    <w:tbl>
      <w:tblPr>
        <w:tblW w:type="auto" w:w="0"/>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4989"/>
        <w:gridCol w:w="4989"/>
      </w:tblGrid>
      <w:tr>
        <w:trPr>
          <w:cantSplit/>
        </w:trPr>
        <w:tc>
          <w:tcPr>
            <w:tcW w:type="dxa" w:w="4989"/>
            <w:tcMar>
              <w:top w:w="0" w:type="dxa"/>
              <w:start w:w="0" w:type="dxa"/>
              <w:bottom w:w="0" w:type="dxa"/>
              <w:end w:w="110" w:type="dxa"/>
            </w:tcMar>
          </w:tcPr>
          <w:p>
            <w:pPr>
              <w:keepNext/>
              <w:spacing w:before="0" w:after="20" w:line="240" w:lineRule="auto"/>
            </w:pPr>
            <w:r>
              <w:rPr>
                <w:rFonts w:ascii="Calibri" w:hAnsi="Calibri"/>
                <w:b/>
                <w:i w:val="0"/>
                <w:color w:val="19455E"/>
                <w:sz w:val="16"/>
              </w:rPr>
              <w:t>DPO comment</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c>
          <w:tcPr>
            <w:tcW w:type="dxa" w:w="4989"/>
            <w:tcMar>
              <w:top w:w="0" w:type="dxa"/>
              <w:start w:w="0" w:type="dxa"/>
              <w:bottom w:w="0" w:type="dxa"/>
              <w:end w:w="0" w:type="dxa"/>
            </w:tcMar>
          </w:tcPr>
          <w:p>
            <w:pPr>
              <w:keepNext/>
              <w:spacing w:before="0" w:after="20" w:line="240" w:lineRule="auto"/>
            </w:pPr>
            <w:r>
              <w:rPr>
                <w:rFonts w:ascii="Calibri" w:hAnsi="Calibri"/>
                <w:b/>
                <w:i w:val="0"/>
                <w:color w:val="19455E"/>
                <w:sz w:val="16"/>
              </w:rPr>
              <w:t>Outcome</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r>
    </w:tbl>
    <w:p>
      <w:pPr>
        <w:spacing w:before="0" w:after="80" w:line="240" w:lineRule="auto"/>
      </w:pPr>
    </w:p>
    <w:p>
      <w:pPr>
        <w:keepNext/>
        <w:spacing w:before="180" w:after="60" w:line="264" w:lineRule="auto"/>
      </w:pPr>
      <w:r>
        <w:rPr>
          <w:rFonts w:ascii="Calibri" w:hAnsi="Calibri"/>
          <w:b/>
          <w:i w:val="0"/>
          <w:color w:val="03273F"/>
          <w:sz w:val="24"/>
        </w:rPr>
        <w:t>4.4 Special category and biometric processing</w:t>
      </w:r>
    </w:p>
    <w:p>
      <w:pPr>
        <w:spacing w:before="0" w:after="100" w:line="283" w:lineRule="auto"/>
      </w:pPr>
      <w:r>
        <w:rPr>
          <w:rFonts w:ascii="Calibri" w:hAnsi="Calibri"/>
          <w:b w:val="0"/>
          <w:i w:val="0"/>
          <w:color w:val="4B4F58"/>
          <w:sz w:val="19"/>
        </w:rPr>
        <w:t xml:space="preserve">"Biometric data" is defined in </w:t>
      </w:r>
      <w:hyperlink r:id="rId18">
        <w:r>
          <w:rPr>
            <w:rFonts w:ascii="Calibri" w:hAnsi="Calibri"/>
            <w:color w:val="19455E"/>
            <w:u w:val="single"/>
            <w:sz w:val="19"/>
          </w:rPr>
          <w:t xml:space="preserve">UK GDPR Article 4</w:t>
        </w:r>
      </w:hyperlink>
      <w:r>
        <w:rPr>
          <w:rFonts w:ascii="Calibri" w:hAnsi="Calibri"/>
          <w:b w:val="0"/>
          <w:i w:val="0"/>
          <w:color w:val="4B4F58"/>
          <w:sz w:val="19"/>
        </w:rPr>
        <w:t xml:space="preserve">, and biometric data processed for the purpose of uniquely identifying a person is special category data under </w:t>
      </w:r>
      <w:hyperlink r:id="rId19">
        <w:r>
          <w:rPr>
            <w:rFonts w:ascii="Calibri" w:hAnsi="Calibri"/>
            <w:color w:val="19455E"/>
            <w:u w:val="single"/>
            <w:sz w:val="19"/>
          </w:rPr>
          <w:t xml:space="preserve">UK GDPR Article 9</w:t>
        </w:r>
      </w:hyperlink>
      <w:r>
        <w:rPr>
          <w:rFonts w:ascii="Calibri" w:hAnsi="Calibri"/>
          <w:b w:val="0"/>
          <w:i w:val="0"/>
          <w:color w:val="4B4F58"/>
          <w:sz w:val="19"/>
        </w:rPr>
        <w:t>. If any part of the deployment processes facial images or other characteristics for identification, you must identify an Article 9 condition as well as an Article 6 basis, and the risk assessment must be correspondingly deeper. Health inferences drawn from a welfare signal can also be special category data even where no camera identifies anyone.</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3991"/>
        <w:gridCol w:w="1197"/>
        <w:gridCol w:w="4789"/>
      </w:tblGrid>
      <w:tr>
        <w:trPr>
          <w:tblHeader w:val="true"/>
        </w:trPr>
        <w:tc>
          <w:tcPr>
            <w:tcW w:type="dxa" w:w="3991"/>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Question</w:t>
            </w:r>
          </w:p>
        </w:tc>
        <w:tc>
          <w:tcPr>
            <w:tcW w:type="dxa" w:w="1197"/>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Yes/No</w:t>
            </w:r>
          </w:p>
        </w:tc>
        <w:tc>
          <w:tcPr>
            <w:tcW w:type="dxa" w:w="4789"/>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If yes: Article 9 condition, safeguards and policy document</w:t>
            </w:r>
          </w:p>
        </w:tc>
      </w:tr>
      <w:tr>
        <w:tc>
          <w:tcPr>
            <w:tcW w:type="dxa" w:w="3991"/>
            <w:tcMar>
              <w:top w:w="80" w:type="dxa"/>
              <w:start w:w="85" w:type="dxa"/>
              <w:bottom w:w="80" w:type="dxa"/>
              <w:end w:w="85" w:type="dxa"/>
            </w:tcMar>
          </w:tcPr>
          <w:p>
            <w:pPr>
              <w:spacing w:before="0" w:after="0" w:line="264" w:lineRule="auto"/>
            </w:pPr>
            <w:r>
              <w:rPr>
                <w:rFonts w:ascii="Calibri" w:hAnsi="Calibri"/>
                <w:b/>
                <w:i w:val="0"/>
                <w:color w:val="2C3338"/>
                <w:sz w:val="16"/>
              </w:rPr>
              <w:t>Does the system process biometric data for the purpose of unique identification?</w:t>
            </w:r>
          </w:p>
        </w:tc>
        <w:tc>
          <w:tcPr>
            <w:tcW w:type="dxa" w:w="1197"/>
            <w:shd w:val="clear" w:color="auto" w:fill="F2F6FA"/>
            <w:tcMar>
              <w:top w:w="80" w:type="dxa"/>
              <w:start w:w="85" w:type="dxa"/>
              <w:bottom w:w="80" w:type="dxa"/>
              <w:end w:w="85" w:type="dxa"/>
            </w:tcMar>
          </w:tcPr>
          <w:p>
            <w:pPr>
              <w:spacing w:before="0" w:after="0" w:line="264" w:lineRule="auto"/>
            </w:pPr>
          </w:p>
        </w:tc>
        <w:tc>
          <w:tcPr>
            <w:tcW w:type="dxa" w:w="4789"/>
            <w:shd w:val="clear" w:color="auto" w:fill="F2F6FA"/>
            <w:tcMar>
              <w:top w:w="80" w:type="dxa"/>
              <w:start w:w="85" w:type="dxa"/>
              <w:bottom w:w="80" w:type="dxa"/>
              <w:end w:w="85" w:type="dxa"/>
            </w:tcMar>
          </w:tcPr>
          <w:p>
            <w:pPr>
              <w:spacing w:before="0" w:after="0" w:line="264" w:lineRule="auto"/>
            </w:pPr>
          </w:p>
        </w:tc>
      </w:tr>
      <w:tr>
        <w:tc>
          <w:tcPr>
            <w:tcW w:type="dxa" w:w="3991"/>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Could a welfare signal amount to an inference about a person’s health?</w:t>
            </w:r>
          </w:p>
        </w:tc>
        <w:tc>
          <w:tcPr>
            <w:tcW w:type="dxa" w:w="1197"/>
            <w:shd w:val="clear" w:color="auto" w:fill="F2F6FA"/>
            <w:tcMar>
              <w:top w:w="80" w:type="dxa"/>
              <w:start w:w="85" w:type="dxa"/>
              <w:bottom w:w="80" w:type="dxa"/>
              <w:end w:w="85" w:type="dxa"/>
            </w:tcMar>
          </w:tcPr>
          <w:p>
            <w:pPr>
              <w:spacing w:before="0" w:after="0" w:line="264" w:lineRule="auto"/>
            </w:pPr>
          </w:p>
        </w:tc>
        <w:tc>
          <w:tcPr>
            <w:tcW w:type="dxa" w:w="4789"/>
            <w:shd w:val="clear" w:color="auto" w:fill="F2F6FA"/>
            <w:tcMar>
              <w:top w:w="80" w:type="dxa"/>
              <w:start w:w="85" w:type="dxa"/>
              <w:bottom w:w="80" w:type="dxa"/>
              <w:end w:w="85" w:type="dxa"/>
            </w:tcMar>
          </w:tcPr>
          <w:p>
            <w:pPr>
              <w:spacing w:before="0" w:after="0" w:line="264" w:lineRule="auto"/>
            </w:pPr>
          </w:p>
        </w:tc>
      </w:tr>
      <w:tr>
        <w:tc>
          <w:tcPr>
            <w:tcW w:type="dxa" w:w="3991"/>
            <w:tcMar>
              <w:top w:w="80" w:type="dxa"/>
              <w:start w:w="85" w:type="dxa"/>
              <w:bottom w:w="80" w:type="dxa"/>
              <w:end w:w="85" w:type="dxa"/>
            </w:tcMar>
          </w:tcPr>
          <w:p>
            <w:pPr>
              <w:spacing w:before="0" w:after="0" w:line="264" w:lineRule="auto"/>
            </w:pPr>
            <w:r>
              <w:rPr>
                <w:rFonts w:ascii="Calibri" w:hAnsi="Calibri"/>
                <w:b/>
                <w:i w:val="0"/>
                <w:color w:val="2C3338"/>
                <w:sz w:val="16"/>
              </w:rPr>
              <w:t>Could any output relate to criminal offences or suspected offences?</w:t>
            </w:r>
          </w:p>
        </w:tc>
        <w:tc>
          <w:tcPr>
            <w:tcW w:type="dxa" w:w="1197"/>
            <w:shd w:val="clear" w:color="auto" w:fill="F2F6FA"/>
            <w:tcMar>
              <w:top w:w="80" w:type="dxa"/>
              <w:start w:w="85" w:type="dxa"/>
              <w:bottom w:w="80" w:type="dxa"/>
              <w:end w:w="85" w:type="dxa"/>
            </w:tcMar>
          </w:tcPr>
          <w:p>
            <w:pPr>
              <w:spacing w:before="0" w:after="0" w:line="264" w:lineRule="auto"/>
            </w:pPr>
          </w:p>
        </w:tc>
        <w:tc>
          <w:tcPr>
            <w:tcW w:type="dxa" w:w="4789"/>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p>
      <w:pPr>
        <w:keepNext/>
        <w:spacing w:before="180" w:after="60" w:line="264" w:lineRule="auto"/>
      </w:pPr>
      <w:r>
        <w:rPr>
          <w:rFonts w:ascii="Calibri" w:hAnsi="Calibri"/>
          <w:b/>
          <w:i w:val="0"/>
          <w:color w:val="03273F"/>
          <w:sz w:val="24"/>
        </w:rPr>
        <w:t>4.5 Anonymisation versus pseudonymisation</w:t>
      </w:r>
    </w:p>
    <w:p>
      <w:pPr>
        <w:spacing w:before="0" w:after="100" w:line="283" w:lineRule="auto"/>
      </w:pPr>
      <w:r>
        <w:rPr>
          <w:rFonts w:ascii="Calibri" w:hAnsi="Calibri"/>
          <w:b w:val="0"/>
          <w:i w:val="0"/>
          <w:color w:val="4B4F58"/>
          <w:sz w:val="19"/>
        </w:rPr>
        <w:t>Irreversibly aggregated counts that cannot identify or single out a person fall outside UK GDPR. Replacing an identifier with a reference, or retaining data from which an individual could still be singled out, is pseudonymisation — and pseudonymised data is still personal data (</w:t>
      </w:r>
      <w:hyperlink r:id="rId13">
        <w:r>
          <w:rPr>
            <w:rFonts w:ascii="Calibri" w:hAnsi="Calibri"/>
            <w:color w:val="19455E"/>
            <w:u w:val="single"/>
            <w:sz w:val="19"/>
          </w:rPr>
          <w:t xml:space="preserve">ICO anonymisation guidance</w:t>
        </w:r>
      </w:hyperlink>
      <w:r>
        <w:rPr>
          <w:rFonts w:ascii="Calibri" w:hAnsi="Calibri"/>
          <w:b w:val="0"/>
          <w:i w:val="0"/>
          <w:color w:val="4B4F58"/>
          <w:sz w:val="19"/>
        </w:rPr>
        <w:t>). Two practical consequences follow. First, do not call a camera-based system anonymous because no clip is retained: the question is what the system can single out, not what it keeps. Second, record the reasoning behind any "not personal data" conclusion, including who might reasonably be able to re-identify and with what other data sets, so that the conclusion can be re-tested when the deployment changes.</w:t>
      </w:r>
    </w:p>
    <w:tbl>
      <w:tblPr>
        <w:tblW w:type="auto" w:w="0"/>
        <w:tblBorders>
          <w:top w:val="single" w:sz="6" w:space="0" w:color="DCE3EA"/>
          <w:left w:val="single" w:sz="6" w:space="0" w:color="DCE3EA"/>
          <w:bottom w:val="single" w:sz="6" w:space="0" w:color="DCE3EA"/>
          <w:right w:val="single" w:sz="6" w:space="0" w:color="DCE3EA"/>
        </w:tblBorders>
        <w:tblLayout w:type="fixed"/>
        <w:tblLook w:firstColumn="1" w:firstRow="1" w:lastColumn="0" w:lastRow="0" w:noHBand="0" w:noVBand="1" w:val="04A0"/>
      </w:tblPr>
      <w:tblGrid>
        <w:gridCol w:w="9978"/>
      </w:tblGrid>
      <w:tr>
        <w:tc>
          <w:tcPr>
            <w:tcW w:type="dxa" w:w="9978"/>
            <w:shd w:val="clear" w:color="auto" w:fill="F4F7FA"/>
            <w:tcMar>
              <w:top w:w="130" w:type="dxa"/>
              <w:start w:w="160" w:type="dxa"/>
              <w:bottom w:w="130" w:type="dxa"/>
              <w:end w:w="160" w:type="dxa"/>
            </w:tcMar>
          </w:tcPr>
          <w:p>
            <w:pPr>
              <w:spacing w:before="0" w:after="60" w:line="264" w:lineRule="auto"/>
            </w:pPr>
            <w:r>
              <w:rPr>
                <w:rFonts w:ascii="Calibri" w:hAnsi="Calibri"/>
                <w:b/>
                <w:i w:val="0"/>
                <w:color w:val="03273F"/>
                <w:sz w:val="20"/>
              </w:rPr>
              <w:t>ICO guidance is being updated</w:t>
            </w:r>
          </w:p>
          <w:p>
            <w:pPr>
              <w:spacing w:before="0" w:after="60" w:line="283" w:lineRule="auto"/>
            </w:pPr>
            <w:r>
              <w:rPr>
                <w:rFonts w:ascii="Calibri" w:hAnsi="Calibri"/>
                <w:b w:val="0"/>
                <w:i w:val="0"/>
                <w:color w:val="2C3338"/>
                <w:sz w:val="18"/>
              </w:rPr>
              <w:t xml:space="preserve">The </w:t>
            </w:r>
            <w:hyperlink r:id="rId20">
              <w:r>
                <w:rPr>
                  <w:rFonts w:ascii="Calibri" w:hAnsi="Calibri"/>
                  <w:color w:val="19455E"/>
                  <w:u w:val="single"/>
                  <w:sz w:val="18"/>
                </w:rPr>
                <w:t xml:space="preserve">Data (Use and Access) Act 2025</w:t>
              </w:r>
            </w:hyperlink>
            <w:r>
              <w:rPr>
                <w:rFonts w:ascii="Calibri" w:hAnsi="Calibri"/>
                <w:b w:val="0"/>
                <w:i w:val="0"/>
                <w:color w:val="2C3338"/>
                <w:sz w:val="18"/>
              </w:rPr>
              <w:t xml:space="preserve"> amended UK data protection law and ICO guidance is being revised in consequence (</w:t>
            </w:r>
            <w:hyperlink r:id="rId21">
              <w:r>
                <w:rPr>
                  <w:rFonts w:ascii="Calibri" w:hAnsi="Calibri"/>
                  <w:color w:val="19455E"/>
                  <w:u w:val="single"/>
                  <w:sz w:val="18"/>
                </w:rPr>
                <w:t xml:space="preserve">ICO DPIA guidance hub</w:t>
              </w:r>
            </w:hyperlink>
            <w:r>
              <w:rPr>
                <w:rFonts w:ascii="Calibri" w:hAnsi="Calibri"/>
                <w:b w:val="0"/>
                <w:i w:val="0"/>
                <w:color w:val="2C3338"/>
                <w:sz w:val="18"/>
              </w:rPr>
              <w:t>). Do not rely on pre-2025 summaries of DPIA or lawful-basis requirements. Confirm the current position with your DPO at the point of decision.</w:t>
            </w:r>
          </w:p>
        </w:tc>
      </w:tr>
    </w:tbl>
    <w:p>
      <w:pPr>
        <w:spacing w:before="0" w:after="80" w:line="240" w:lineRule="auto"/>
      </w:pPr>
    </w:p>
    <w:tbl>
      <w:tblPr>
        <w:tblW w:type="auto" w:w="0"/>
        <w:jc w:val="left"/>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9978"/>
      </w:tblGrid>
      <w:tr>
        <w:trPr>
          <w:cantSplit/>
        </w:trPr>
        <w:tc>
          <w:tcPr>
            <w:tcW w:type="dxa" w:w="9978"/>
            <w:shd w:val="clear" w:color="auto" w:fill="03273F"/>
            <w:tcMar>
              <w:top w:w="150" w:type="dxa"/>
              <w:start w:w="170" w:type="dxa"/>
              <w:bottom w:w="150" w:type="dxa"/>
              <w:end w:w="170" w:type="dxa"/>
            </w:tcMar>
          </w:tcPr>
          <w:p>
            <w:pPr>
              <w:keepNext/>
              <w:spacing w:before="0" w:after="0" w:line="264" w:lineRule="auto"/>
            </w:pPr>
            <w:r>
              <w:rPr>
                <w:rFonts w:ascii="Calibri" w:hAnsi="Calibri"/>
                <w:b/>
                <w:color w:val="FFFFFF"/>
                <w:sz w:val="30"/>
              </w:rPr>
              <w:t>Step 5 — Risk register</w:t>
            </w:r>
          </w:p>
        </w:tc>
      </w:tr>
    </w:tbl>
    <w:p>
      <w:pPr>
        <w:keepNext/>
        <w:spacing w:before="0" w:after="60" w:line="240" w:lineRule="auto"/>
      </w:pPr>
    </w:p>
    <w:p>
      <w:pPr>
        <w:spacing w:before="0" w:after="100" w:line="283" w:lineRule="auto"/>
      </w:pPr>
      <w:r>
        <w:rPr>
          <w:rFonts w:ascii="Calibri" w:hAnsi="Calibri"/>
          <w:b w:val="0"/>
          <w:i w:val="0"/>
          <w:color w:val="4B4F58"/>
          <w:sz w:val="19"/>
        </w:rPr>
        <w:t>Score each risk before mitigation, record the mitigation, then score the residual risk. Likelihood and severity use a three-point scale: Low, Medium, High. Overall risk is the higher of the two unless you record a reason to depart from that. Any residual risk that remains High must be escalated under Step 8 and may require prior consultation with the Information Commissioner’s Office.</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579"/>
        <w:gridCol w:w="1816"/>
        <w:gridCol w:w="1098"/>
        <w:gridCol w:w="619"/>
        <w:gridCol w:w="579"/>
        <w:gridCol w:w="718"/>
        <w:gridCol w:w="2245"/>
        <w:gridCol w:w="698"/>
        <w:gridCol w:w="1626"/>
      </w:tblGrid>
      <w:tr>
        <w:trPr>
          <w:tblHeader w:val="true"/>
        </w:trPr>
        <w:tc>
          <w:tcPr>
            <w:tcW w:type="dxa" w:w="579"/>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ID</w:t>
            </w:r>
          </w:p>
        </w:tc>
        <w:tc>
          <w:tcPr>
            <w:tcW w:type="dxa" w:w="1816"/>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Risk</w:t>
            </w:r>
          </w:p>
        </w:tc>
        <w:tc>
          <w:tcPr>
            <w:tcW w:type="dxa" w:w="1098"/>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Affected</w:t>
            </w:r>
          </w:p>
        </w:tc>
        <w:tc>
          <w:tcPr>
            <w:tcW w:type="dxa" w:w="619"/>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Like.</w:t>
            </w:r>
          </w:p>
        </w:tc>
        <w:tc>
          <w:tcPr>
            <w:tcW w:type="dxa" w:w="579"/>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Sev.</w:t>
            </w:r>
          </w:p>
        </w:tc>
        <w:tc>
          <w:tcPr>
            <w:tcW w:type="dxa" w:w="718"/>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Overall</w:t>
            </w:r>
          </w:p>
        </w:tc>
        <w:tc>
          <w:tcPr>
            <w:tcW w:type="dxa" w:w="2245"/>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Mitigation</w:t>
            </w:r>
          </w:p>
        </w:tc>
        <w:tc>
          <w:tcPr>
            <w:tcW w:type="dxa" w:w="698"/>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Resid.</w:t>
            </w:r>
          </w:p>
        </w:tc>
        <w:tc>
          <w:tcPr>
            <w:tcW w:type="dxa" w:w="1626"/>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Owner</w:t>
            </w:r>
          </w:p>
        </w:tc>
      </w:tr>
      <w:tr>
        <w:tc>
          <w:tcPr>
            <w:tcW w:type="dxa" w:w="579"/>
            <w:noWrap/>
            <w:tcMar>
              <w:top w:w="80" w:type="dxa"/>
              <w:start w:w="85" w:type="dxa"/>
              <w:bottom w:w="80" w:type="dxa"/>
              <w:end w:w="85" w:type="dxa"/>
            </w:tcMar>
          </w:tcPr>
          <w:p>
            <w:pPr>
              <w:spacing w:before="0" w:after="0" w:line="264" w:lineRule="auto"/>
            </w:pPr>
            <w:r>
              <w:rPr>
                <w:rFonts w:ascii="Calibri" w:hAnsi="Calibri"/>
                <w:b/>
                <w:i w:val="0"/>
                <w:color w:val="2C3338"/>
                <w:sz w:val="16"/>
              </w:rPr>
              <w:t>R1</w:t>
            </w:r>
          </w:p>
        </w:tc>
        <w:tc>
          <w:tcPr>
            <w:tcW w:type="dxa" w:w="1816"/>
            <w:tcMar>
              <w:top w:w="80" w:type="dxa"/>
              <w:start w:w="85" w:type="dxa"/>
              <w:bottom w:w="80" w:type="dxa"/>
              <w:end w:w="85" w:type="dxa"/>
            </w:tcMar>
          </w:tcPr>
          <w:p>
            <w:pPr>
              <w:spacing w:before="0" w:after="0" w:line="264" w:lineRule="auto"/>
            </w:pPr>
            <w:r>
              <w:rPr>
                <w:rFonts w:ascii="Calibri" w:hAnsi="Calibri"/>
                <w:b w:val="0"/>
                <w:i w:val="0"/>
                <w:color w:val="4B4F58"/>
                <w:sz w:val="16"/>
              </w:rPr>
              <w:t>Re-identification by joining data sets — counts, location and timing combined with ticketing, rota or CCTV data allow an individual journey to be reconstructed.</w:t>
            </w:r>
          </w:p>
        </w:tc>
        <w:tc>
          <w:tcPr>
            <w:tcW w:type="dxa" w:w="1098"/>
            <w:tcMar>
              <w:top w:w="80" w:type="dxa"/>
              <w:start w:w="85" w:type="dxa"/>
              <w:bottom w:w="80" w:type="dxa"/>
              <w:end w:w="85" w:type="dxa"/>
            </w:tcMar>
          </w:tcPr>
          <w:p>
            <w:pPr>
              <w:spacing w:before="0" w:after="0" w:line="264" w:lineRule="auto"/>
            </w:pPr>
            <w:r>
              <w:rPr>
                <w:rFonts w:ascii="Calibri" w:hAnsi="Calibri"/>
                <w:b w:val="0"/>
                <w:i w:val="0"/>
                <w:color w:val="4B4F58"/>
                <w:sz w:val="16"/>
              </w:rPr>
              <w:t>Passengers and staff</w:t>
            </w:r>
          </w:p>
        </w:tc>
        <w:tc>
          <w:tcPr>
            <w:tcW w:type="dxa" w:w="619"/>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579"/>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718"/>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2245"/>
            <w:tcMar>
              <w:top w:w="80" w:type="dxa"/>
              <w:start w:w="85" w:type="dxa"/>
              <w:bottom w:w="80" w:type="dxa"/>
              <w:end w:w="85" w:type="dxa"/>
            </w:tcMar>
          </w:tcPr>
          <w:p>
            <w:pPr>
              <w:spacing w:before="0" w:after="0" w:line="264" w:lineRule="auto"/>
            </w:pPr>
            <w:r>
              <w:rPr>
                <w:rFonts w:ascii="Calibri" w:hAnsi="Calibri"/>
                <w:b w:val="0"/>
                <w:i w:val="0"/>
                <w:color w:val="4B4F58"/>
                <w:sz w:val="16"/>
              </w:rPr>
              <w:t>Prohibit joins that are not on the permitted-use list; keep counting data in a separate store from ticketing; hold aggregates rather than per-event records; test re-identification risk on low-patronage services where a single boarding may be one known person.</w:t>
            </w:r>
          </w:p>
        </w:tc>
        <w:tc>
          <w:tcPr>
            <w:tcW w:type="dxa" w:w="698"/>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1626"/>
            <w:noWrap/>
            <w:tcMar>
              <w:top w:w="80" w:type="dxa"/>
              <w:start w:w="85" w:type="dxa"/>
              <w:bottom w:w="80" w:type="dxa"/>
              <w:end w:w="85" w:type="dxa"/>
            </w:tcMar>
          </w:tcPr>
          <w:p>
            <w:pPr>
              <w:spacing w:before="0" w:after="0" w:line="264" w:lineRule="auto"/>
            </w:pPr>
            <w:r>
              <w:rPr>
                <w:rFonts w:ascii="Calibri" w:hAnsi="Calibri"/>
                <w:b w:val="0"/>
                <w:i w:val="0"/>
                <w:color w:val="4B4F58"/>
                <w:sz w:val="16"/>
              </w:rPr>
              <w:t>DPO</w:t>
            </w:r>
          </w:p>
        </w:tc>
      </w:tr>
      <w:tr>
        <w:tc>
          <w:tcPr>
            <w:tcW w:type="dxa" w:w="57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R2</w:t>
            </w:r>
          </w:p>
        </w:tc>
        <w:tc>
          <w:tcPr>
            <w:tcW w:type="dxa" w:w="181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Function creep — a counting system is progressively used for surveillance, staff monitoring or investigation.</w:t>
            </w:r>
          </w:p>
        </w:tc>
        <w:tc>
          <w:tcPr>
            <w:tcW w:type="dxa" w:w="10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Passengers and drivers</w:t>
            </w:r>
          </w:p>
        </w:tc>
        <w:tc>
          <w:tcPr>
            <w:tcW w:type="dxa" w:w="619"/>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579"/>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71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2245"/>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Written permitted-use list; change gate requiring DPO review and a DPIA update; unapproved analytics disabled in configuration with enablement logged; contractual restriction on supplier use; request log reviewed periodically.</w:t>
            </w:r>
          </w:p>
        </w:tc>
        <w:tc>
          <w:tcPr>
            <w:tcW w:type="dxa" w:w="69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Low</w:t>
            </w:r>
          </w:p>
        </w:tc>
        <w:tc>
          <w:tcPr>
            <w:tcW w:type="dxa" w:w="162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Head of Operations</w:t>
            </w:r>
          </w:p>
        </w:tc>
      </w:tr>
      <w:tr>
        <w:tc>
          <w:tcPr>
            <w:tcW w:type="dxa" w:w="579"/>
            <w:noWrap/>
            <w:tcMar>
              <w:top w:w="80" w:type="dxa"/>
              <w:start w:w="85" w:type="dxa"/>
              <w:bottom w:w="80" w:type="dxa"/>
              <w:end w:w="85" w:type="dxa"/>
            </w:tcMar>
          </w:tcPr>
          <w:p>
            <w:pPr>
              <w:spacing w:before="0" w:after="0" w:line="264" w:lineRule="auto"/>
            </w:pPr>
            <w:r>
              <w:rPr>
                <w:rFonts w:ascii="Calibri" w:hAnsi="Calibri"/>
                <w:b/>
                <w:i w:val="0"/>
                <w:color w:val="2C3338"/>
                <w:sz w:val="16"/>
              </w:rPr>
              <w:t>R3</w:t>
            </w:r>
          </w:p>
        </w:tc>
        <w:tc>
          <w:tcPr>
            <w:tcW w:type="dxa" w:w="1816"/>
            <w:tcMar>
              <w:top w:w="80" w:type="dxa"/>
              <w:start w:w="85" w:type="dxa"/>
              <w:bottom w:w="80" w:type="dxa"/>
              <w:end w:w="85" w:type="dxa"/>
            </w:tcMar>
          </w:tcPr>
          <w:p>
            <w:pPr>
              <w:spacing w:before="0" w:after="0" w:line="264" w:lineRule="auto"/>
            </w:pPr>
            <w:r>
              <w:rPr>
                <w:rFonts w:ascii="Calibri" w:hAnsi="Calibri"/>
                <w:b w:val="0"/>
                <w:i w:val="0"/>
                <w:color w:val="4B4F58"/>
                <w:sz w:val="16"/>
              </w:rPr>
              <w:t>Retention drift — data is kept because deletion was never automated, so records accumulate well beyond the period the purpose justifies.</w:t>
            </w:r>
          </w:p>
        </w:tc>
        <w:tc>
          <w:tcPr>
            <w:tcW w:type="dxa" w:w="1098"/>
            <w:tcMar>
              <w:top w:w="80" w:type="dxa"/>
              <w:start w:w="85" w:type="dxa"/>
              <w:bottom w:w="80" w:type="dxa"/>
              <w:end w:w="85" w:type="dxa"/>
            </w:tcMar>
          </w:tcPr>
          <w:p>
            <w:pPr>
              <w:spacing w:before="0" w:after="0" w:line="264" w:lineRule="auto"/>
            </w:pPr>
            <w:r>
              <w:rPr>
                <w:rFonts w:ascii="Calibri" w:hAnsi="Calibri"/>
                <w:b w:val="0"/>
                <w:i w:val="0"/>
                <w:color w:val="4B4F58"/>
                <w:sz w:val="16"/>
              </w:rPr>
              <w:t>Passengers and staff</w:t>
            </w:r>
          </w:p>
        </w:tc>
        <w:tc>
          <w:tcPr>
            <w:tcW w:type="dxa" w:w="619"/>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579"/>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718"/>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2245"/>
            <w:tcMar>
              <w:top w:w="80" w:type="dxa"/>
              <w:start w:w="85" w:type="dxa"/>
              <w:bottom w:w="80" w:type="dxa"/>
              <w:end w:w="85" w:type="dxa"/>
            </w:tcMar>
          </w:tcPr>
          <w:p>
            <w:pPr>
              <w:spacing w:before="0" w:after="0" w:line="264" w:lineRule="auto"/>
            </w:pPr>
            <w:r>
              <w:rPr>
                <w:rFonts w:ascii="Calibri" w:hAnsi="Calibri"/>
                <w:b w:val="0"/>
                <w:i w:val="0"/>
                <w:color w:val="4B4F58"/>
                <w:sz w:val="16"/>
              </w:rPr>
              <w:t>Retention periods configured in the platform rather than managed by hand; scheduled deletion jobs; periodic retention audit with evidence of deletion; retention change treated as a DPIA review trigger.</w:t>
            </w:r>
          </w:p>
        </w:tc>
        <w:tc>
          <w:tcPr>
            <w:tcW w:type="dxa" w:w="698"/>
            <w:noWrap/>
            <w:tcMar>
              <w:top w:w="80" w:type="dxa"/>
              <w:start w:w="85" w:type="dxa"/>
              <w:bottom w:w="80" w:type="dxa"/>
              <w:end w:w="85" w:type="dxa"/>
            </w:tcMar>
          </w:tcPr>
          <w:p>
            <w:pPr>
              <w:spacing w:before="0" w:after="0" w:line="264" w:lineRule="auto"/>
            </w:pPr>
            <w:r>
              <w:rPr>
                <w:rFonts w:ascii="Calibri" w:hAnsi="Calibri"/>
                <w:b w:val="0"/>
                <w:i w:val="0"/>
                <w:color w:val="4B4F58"/>
                <w:sz w:val="16"/>
              </w:rPr>
              <w:t>Low</w:t>
            </w:r>
          </w:p>
        </w:tc>
        <w:tc>
          <w:tcPr>
            <w:tcW w:type="dxa" w:w="1626"/>
            <w:tcMar>
              <w:top w:w="80" w:type="dxa"/>
              <w:start w:w="85" w:type="dxa"/>
              <w:bottom w:w="80" w:type="dxa"/>
              <w:end w:w="85" w:type="dxa"/>
            </w:tcMar>
          </w:tcPr>
          <w:p>
            <w:pPr>
              <w:spacing w:before="0" w:after="0" w:line="264" w:lineRule="auto"/>
            </w:pPr>
            <w:r>
              <w:rPr>
                <w:rFonts w:ascii="Calibri" w:hAnsi="Calibri"/>
                <w:b w:val="0"/>
                <w:i w:val="0"/>
                <w:color w:val="4B4F58"/>
                <w:sz w:val="16"/>
              </w:rPr>
              <w:t>Data owner</w:t>
            </w:r>
          </w:p>
        </w:tc>
      </w:tr>
      <w:tr>
        <w:tc>
          <w:tcPr>
            <w:tcW w:type="dxa" w:w="57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R4</w:t>
            </w:r>
          </w:p>
        </w:tc>
        <w:tc>
          <w:tcPr>
            <w:tcW w:type="dxa" w:w="181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Excessive access through shared dashboard credentials — access cannot be attributed to a person and leavers retain access.</w:t>
            </w:r>
          </w:p>
        </w:tc>
        <w:tc>
          <w:tcPr>
            <w:tcW w:type="dxa" w:w="10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Passengers and staff</w:t>
            </w:r>
          </w:p>
        </w:tc>
        <w:tc>
          <w:tcPr>
            <w:tcW w:type="dxa" w:w="619"/>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579"/>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71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2245"/>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Move to per-user accounts with role-based access and login auditing; rotate all shared credentials before go-live and remove them from any shared document; maintain a named access list reviewed on a fixed cycle; joiner-mover-leaver process.</w:t>
            </w:r>
          </w:p>
        </w:tc>
        <w:tc>
          <w:tcPr>
            <w:tcW w:type="dxa" w:w="69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Low</w:t>
            </w:r>
          </w:p>
        </w:tc>
        <w:tc>
          <w:tcPr>
            <w:tcW w:type="dxa" w:w="162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IT and platform owner</w:t>
            </w:r>
          </w:p>
        </w:tc>
      </w:tr>
      <w:tr>
        <w:tc>
          <w:tcPr>
            <w:tcW w:type="dxa" w:w="579"/>
            <w:noWrap/>
            <w:tcMar>
              <w:top w:w="80" w:type="dxa"/>
              <w:start w:w="85" w:type="dxa"/>
              <w:bottom w:w="80" w:type="dxa"/>
              <w:end w:w="85" w:type="dxa"/>
            </w:tcMar>
          </w:tcPr>
          <w:p>
            <w:pPr>
              <w:spacing w:before="0" w:after="0" w:line="264" w:lineRule="auto"/>
            </w:pPr>
            <w:r>
              <w:rPr>
                <w:rFonts w:ascii="Calibri" w:hAnsi="Calibri"/>
                <w:b/>
                <w:i w:val="0"/>
                <w:color w:val="2C3338"/>
                <w:sz w:val="16"/>
              </w:rPr>
              <w:t>R5</w:t>
            </w:r>
          </w:p>
        </w:tc>
        <w:tc>
          <w:tcPr>
            <w:tcW w:type="dxa" w:w="1816"/>
            <w:tcMar>
              <w:top w:w="80" w:type="dxa"/>
              <w:start w:w="85" w:type="dxa"/>
              <w:bottom w:w="80" w:type="dxa"/>
              <w:end w:w="85" w:type="dxa"/>
            </w:tcMar>
          </w:tcPr>
          <w:p>
            <w:pPr>
              <w:spacing w:before="0" w:after="0" w:line="264" w:lineRule="auto"/>
            </w:pPr>
            <w:r>
              <w:rPr>
                <w:rFonts w:ascii="Calibri" w:hAnsi="Calibri"/>
                <w:b w:val="0"/>
                <w:i w:val="0"/>
                <w:color w:val="4B4F58"/>
                <w:sz w:val="16"/>
              </w:rPr>
              <w:t>Credentials exposed in code or in client-side assets — broker or API secrets are committed to a repository or shipped to the browser.</w:t>
            </w:r>
          </w:p>
        </w:tc>
        <w:tc>
          <w:tcPr>
            <w:tcW w:type="dxa" w:w="1098"/>
            <w:tcMar>
              <w:top w:w="80" w:type="dxa"/>
              <w:start w:w="85" w:type="dxa"/>
              <w:bottom w:w="80" w:type="dxa"/>
              <w:end w:w="85" w:type="dxa"/>
            </w:tcMar>
          </w:tcPr>
          <w:p>
            <w:pPr>
              <w:spacing w:before="0" w:after="0" w:line="264" w:lineRule="auto"/>
            </w:pPr>
            <w:r>
              <w:rPr>
                <w:rFonts w:ascii="Calibri" w:hAnsi="Calibri"/>
                <w:b w:val="0"/>
                <w:i w:val="0"/>
                <w:color w:val="4B4F58"/>
                <w:sz w:val="16"/>
              </w:rPr>
              <w:t>Passengers, staff and operator</w:t>
            </w:r>
          </w:p>
        </w:tc>
        <w:tc>
          <w:tcPr>
            <w:tcW w:type="dxa" w:w="619"/>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579"/>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718"/>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2245"/>
            <w:tcMar>
              <w:top w:w="80" w:type="dxa"/>
              <w:start w:w="85" w:type="dxa"/>
              <w:bottom w:w="80" w:type="dxa"/>
              <w:end w:w="85" w:type="dxa"/>
            </w:tcMar>
          </w:tcPr>
          <w:p>
            <w:pPr>
              <w:spacing w:before="0" w:after="0" w:line="264" w:lineRule="auto"/>
            </w:pPr>
            <w:r>
              <w:rPr>
                <w:rFonts w:ascii="Calibri" w:hAnsi="Calibri"/>
                <w:b w:val="0"/>
                <w:i w:val="0"/>
                <w:color w:val="4B4F58"/>
                <w:sz w:val="16"/>
              </w:rPr>
              <w:t>Secrets held in environment configuration, never in source or client-side code; secret scanning on the repository; rotation on any suspected exposure; server-side proxying of any API call that needs a secret.</w:t>
            </w:r>
          </w:p>
        </w:tc>
        <w:tc>
          <w:tcPr>
            <w:tcW w:type="dxa" w:w="698"/>
            <w:noWrap/>
            <w:tcMar>
              <w:top w:w="80" w:type="dxa"/>
              <w:start w:w="85" w:type="dxa"/>
              <w:bottom w:w="80" w:type="dxa"/>
              <w:end w:w="85" w:type="dxa"/>
            </w:tcMar>
          </w:tcPr>
          <w:p>
            <w:pPr>
              <w:spacing w:before="0" w:after="0" w:line="264" w:lineRule="auto"/>
            </w:pPr>
            <w:r>
              <w:rPr>
                <w:rFonts w:ascii="Calibri" w:hAnsi="Calibri"/>
                <w:b w:val="0"/>
                <w:i w:val="0"/>
                <w:color w:val="4B4F58"/>
                <w:sz w:val="16"/>
              </w:rPr>
              <w:t>Low</w:t>
            </w:r>
          </w:p>
        </w:tc>
        <w:tc>
          <w:tcPr>
            <w:tcW w:type="dxa" w:w="1626"/>
            <w:tcMar>
              <w:top w:w="80" w:type="dxa"/>
              <w:start w:w="85" w:type="dxa"/>
              <w:bottom w:w="80" w:type="dxa"/>
              <w:end w:w="85" w:type="dxa"/>
            </w:tcMar>
          </w:tcPr>
          <w:p>
            <w:pPr>
              <w:spacing w:before="0" w:after="0" w:line="264" w:lineRule="auto"/>
            </w:pPr>
            <w:r>
              <w:rPr>
                <w:rFonts w:ascii="Calibri" w:hAnsi="Calibri"/>
                <w:b w:val="0"/>
                <w:i w:val="0"/>
                <w:color w:val="4B4F58"/>
                <w:sz w:val="16"/>
              </w:rPr>
              <w:t>Supplier engineering lead</w:t>
            </w:r>
          </w:p>
        </w:tc>
      </w:tr>
      <w:tr>
        <w:tc>
          <w:tcPr>
            <w:tcW w:type="dxa" w:w="57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R6</w:t>
            </w:r>
          </w:p>
        </w:tc>
        <w:tc>
          <w:tcPr>
            <w:tcW w:type="dxa" w:w="181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Broker over-permissioning — one client credential can subscribe to all topics across the fleet or publish spoofed data.</w:t>
            </w:r>
          </w:p>
        </w:tc>
        <w:tc>
          <w:tcPr>
            <w:tcW w:type="dxa" w:w="10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Passengers and operator</w:t>
            </w:r>
          </w:p>
        </w:tc>
        <w:tc>
          <w:tcPr>
            <w:tcW w:type="dxa" w:w="619"/>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579"/>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71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2245"/>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Per-client credentials with topic-scoped, least-privilege permissions; separate credentials per vehicle and per environment; TLS enforced; periodic review of broker access control lists.</w:t>
            </w:r>
          </w:p>
        </w:tc>
        <w:tc>
          <w:tcPr>
            <w:tcW w:type="dxa" w:w="69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Low</w:t>
            </w:r>
          </w:p>
        </w:tc>
        <w:tc>
          <w:tcPr>
            <w:tcW w:type="dxa" w:w="162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Supplier engineering lead</w:t>
            </w:r>
          </w:p>
        </w:tc>
      </w:tr>
      <w:tr>
        <w:tc>
          <w:tcPr>
            <w:tcW w:type="dxa" w:w="579"/>
            <w:noWrap/>
            <w:tcMar>
              <w:top w:w="80" w:type="dxa"/>
              <w:start w:w="85" w:type="dxa"/>
              <w:bottom w:w="80" w:type="dxa"/>
              <w:end w:w="85" w:type="dxa"/>
            </w:tcMar>
          </w:tcPr>
          <w:p>
            <w:pPr>
              <w:spacing w:before="0" w:after="0" w:line="264" w:lineRule="auto"/>
            </w:pPr>
            <w:r>
              <w:rPr>
                <w:rFonts w:ascii="Calibri" w:hAnsi="Calibri"/>
                <w:b/>
                <w:i w:val="0"/>
                <w:color w:val="2C3338"/>
                <w:sz w:val="16"/>
              </w:rPr>
              <w:t>R7</w:t>
            </w:r>
          </w:p>
        </w:tc>
        <w:tc>
          <w:tcPr>
            <w:tcW w:type="dxa" w:w="1816"/>
            <w:tcMar>
              <w:top w:w="80" w:type="dxa"/>
              <w:start w:w="85" w:type="dxa"/>
              <w:bottom w:w="80" w:type="dxa"/>
              <w:end w:w="85" w:type="dxa"/>
            </w:tcMar>
          </w:tcPr>
          <w:p>
            <w:pPr>
              <w:spacing w:before="0" w:after="0" w:line="264" w:lineRule="auto"/>
            </w:pPr>
            <w:r>
              <w:rPr>
                <w:rFonts w:ascii="Calibri" w:hAnsi="Calibri"/>
                <w:b w:val="0"/>
                <w:i w:val="0"/>
                <w:color w:val="4B4F58"/>
                <w:sz w:val="16"/>
              </w:rPr>
              <w:t>False welfare alerts causing wrongful intervention — a person is approached, challenged or reported on the basis of an incorrect event.</w:t>
            </w:r>
          </w:p>
        </w:tc>
        <w:tc>
          <w:tcPr>
            <w:tcW w:type="dxa" w:w="1098"/>
            <w:tcMar>
              <w:top w:w="80" w:type="dxa"/>
              <w:start w:w="85" w:type="dxa"/>
              <w:bottom w:w="80" w:type="dxa"/>
              <w:end w:w="85" w:type="dxa"/>
            </w:tcMar>
          </w:tcPr>
          <w:p>
            <w:pPr>
              <w:spacing w:before="0" w:after="0" w:line="264" w:lineRule="auto"/>
            </w:pPr>
            <w:r>
              <w:rPr>
                <w:rFonts w:ascii="Calibri" w:hAnsi="Calibri"/>
                <w:b w:val="0"/>
                <w:i w:val="0"/>
                <w:color w:val="4B4F58"/>
                <w:sz w:val="16"/>
              </w:rPr>
              <w:t>Passengers</w:t>
            </w:r>
          </w:p>
        </w:tc>
        <w:tc>
          <w:tcPr>
            <w:tcW w:type="dxa" w:w="619"/>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579"/>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718"/>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2245"/>
            <w:tcMar>
              <w:top w:w="80" w:type="dxa"/>
              <w:start w:w="85" w:type="dxa"/>
              <w:bottom w:w="80" w:type="dxa"/>
              <w:end w:w="85" w:type="dxa"/>
            </w:tcMar>
          </w:tcPr>
          <w:p>
            <w:pPr>
              <w:spacing w:before="0" w:after="0" w:line="264" w:lineRule="auto"/>
            </w:pPr>
            <w:r>
              <w:rPr>
                <w:rFonts w:ascii="Calibri" w:hAnsi="Calibri"/>
                <w:b w:val="0"/>
                <w:i w:val="0"/>
                <w:color w:val="4B4F58"/>
                <w:sz w:val="16"/>
              </w:rPr>
              <w:t>Treat welfare output as a prompt for human judgement, never an automatic decision; confidence score and zone shown with every event; acknowledgement workflow with a recorded outcome; repeat-event cooldown; documented false-alarm rate from a moving-vehicle acceptance trial before fleet enablement; staff training on proportionate response.</w:t>
            </w:r>
          </w:p>
        </w:tc>
        <w:tc>
          <w:tcPr>
            <w:tcW w:type="dxa" w:w="698"/>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1626"/>
            <w:tcMar>
              <w:top w:w="80" w:type="dxa"/>
              <w:start w:w="85" w:type="dxa"/>
              <w:bottom w:w="80" w:type="dxa"/>
              <w:end w:w="85" w:type="dxa"/>
            </w:tcMar>
          </w:tcPr>
          <w:p>
            <w:pPr>
              <w:spacing w:before="0" w:after="0" w:line="264" w:lineRule="auto"/>
            </w:pPr>
            <w:r>
              <w:rPr>
                <w:rFonts w:ascii="Calibri" w:hAnsi="Calibri"/>
                <w:b w:val="0"/>
                <w:i w:val="0"/>
                <w:color w:val="4B4F58"/>
                <w:sz w:val="16"/>
              </w:rPr>
              <w:t>Safety lead</w:t>
            </w:r>
          </w:p>
        </w:tc>
      </w:tr>
      <w:tr>
        <w:tc>
          <w:tcPr>
            <w:tcW w:type="dxa" w:w="57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R8</w:t>
            </w:r>
          </w:p>
        </w:tc>
        <w:tc>
          <w:tcPr>
            <w:tcW w:type="dxa" w:w="181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Welfare analytics misclassify behaviour — loud conversation, disability-related movement or distress are mislabelled as aggression, with unequal impact across groups.</w:t>
            </w:r>
          </w:p>
        </w:tc>
        <w:tc>
          <w:tcPr>
            <w:tcW w:type="dxa" w:w="10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Passengers, especially disabled and minority passengers</w:t>
            </w:r>
          </w:p>
        </w:tc>
        <w:tc>
          <w:tcPr>
            <w:tcW w:type="dxa" w:w="619"/>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579"/>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71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2245"/>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Do not publish or act on classification as fact; review event outcomes for patterns of misclassification; keep human review in the loop; suppress rules where sensor conditions are poor; equality impact review alongside this DPIA.</w:t>
            </w:r>
          </w:p>
        </w:tc>
        <w:tc>
          <w:tcPr>
            <w:tcW w:type="dxa" w:w="69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162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DPO and safety lead</w:t>
            </w:r>
          </w:p>
        </w:tc>
      </w:tr>
      <w:tr>
        <w:tc>
          <w:tcPr>
            <w:tcW w:type="dxa" w:w="579"/>
            <w:noWrap/>
            <w:tcMar>
              <w:top w:w="80" w:type="dxa"/>
              <w:start w:w="85" w:type="dxa"/>
              <w:bottom w:w="80" w:type="dxa"/>
              <w:end w:w="85" w:type="dxa"/>
            </w:tcMar>
          </w:tcPr>
          <w:p>
            <w:pPr>
              <w:spacing w:before="0" w:after="0" w:line="264" w:lineRule="auto"/>
            </w:pPr>
            <w:r>
              <w:rPr>
                <w:rFonts w:ascii="Calibri" w:hAnsi="Calibri"/>
                <w:b/>
                <w:i w:val="0"/>
                <w:color w:val="2C3338"/>
                <w:sz w:val="16"/>
              </w:rPr>
              <w:t>R9</w:t>
            </w:r>
          </w:p>
        </w:tc>
        <w:tc>
          <w:tcPr>
            <w:tcW w:type="dxa" w:w="1816"/>
            <w:tcMar>
              <w:top w:w="80" w:type="dxa"/>
              <w:start w:w="85" w:type="dxa"/>
              <w:bottom w:w="80" w:type="dxa"/>
              <w:end w:w="85" w:type="dxa"/>
            </w:tcMar>
          </w:tcPr>
          <w:p>
            <w:pPr>
              <w:spacing w:before="0" w:after="0" w:line="264" w:lineRule="auto"/>
            </w:pPr>
            <w:r>
              <w:rPr>
                <w:rFonts w:ascii="Calibri" w:hAnsi="Calibri"/>
                <w:b w:val="0"/>
                <w:i w:val="0"/>
                <w:color w:val="4B4F58"/>
                <w:sz w:val="16"/>
              </w:rPr>
              <w:t>Inaccurate counts drive service withdrawal — an undercount removes a service that dependent passengers rely on.</w:t>
            </w:r>
          </w:p>
        </w:tc>
        <w:tc>
          <w:tcPr>
            <w:tcW w:type="dxa" w:w="1098"/>
            <w:tcMar>
              <w:top w:w="80" w:type="dxa"/>
              <w:start w:w="85" w:type="dxa"/>
              <w:bottom w:w="80" w:type="dxa"/>
              <w:end w:w="85" w:type="dxa"/>
            </w:tcMar>
          </w:tcPr>
          <w:p>
            <w:pPr>
              <w:spacing w:before="0" w:after="0" w:line="264" w:lineRule="auto"/>
            </w:pPr>
            <w:r>
              <w:rPr>
                <w:rFonts w:ascii="Calibri" w:hAnsi="Calibri"/>
                <w:b w:val="0"/>
                <w:i w:val="0"/>
                <w:color w:val="4B4F58"/>
                <w:sz w:val="16"/>
              </w:rPr>
              <w:t>Passengers without alternatives</w:t>
            </w:r>
          </w:p>
        </w:tc>
        <w:tc>
          <w:tcPr>
            <w:tcW w:type="dxa" w:w="619"/>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579"/>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718"/>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2245"/>
            <w:tcMar>
              <w:top w:w="80" w:type="dxa"/>
              <w:start w:w="85" w:type="dxa"/>
              <w:bottom w:w="80" w:type="dxa"/>
              <w:end w:w="85" w:type="dxa"/>
            </w:tcMar>
          </w:tcPr>
          <w:p>
            <w:pPr>
              <w:spacing w:before="0" w:after="0" w:line="264" w:lineRule="auto"/>
            </w:pPr>
            <w:r>
              <w:rPr>
                <w:rFonts w:ascii="Calibri" w:hAnsi="Calibri"/>
                <w:b w:val="0"/>
                <w:i w:val="0"/>
                <w:color w:val="4B4F58"/>
                <w:sz w:val="16"/>
              </w:rPr>
              <w:t>Per-installation validation against manual reference counts recorded per door and per route; no single headline accuracy figure used in decisions; confidence and exclusions published with the data; re-validation after firmware or sensor change; service-change decisions require a data-quality statement.</w:t>
            </w:r>
          </w:p>
        </w:tc>
        <w:tc>
          <w:tcPr>
            <w:tcW w:type="dxa" w:w="698"/>
            <w:noWrap/>
            <w:tcMar>
              <w:top w:w="80" w:type="dxa"/>
              <w:start w:w="85" w:type="dxa"/>
              <w:bottom w:w="80" w:type="dxa"/>
              <w:end w:w="85" w:type="dxa"/>
            </w:tcMar>
          </w:tcPr>
          <w:p>
            <w:pPr>
              <w:spacing w:before="0" w:after="0" w:line="264" w:lineRule="auto"/>
            </w:pPr>
            <w:r>
              <w:rPr>
                <w:rFonts w:ascii="Calibri" w:hAnsi="Calibri"/>
                <w:b w:val="0"/>
                <w:i w:val="0"/>
                <w:color w:val="4B4F58"/>
                <w:sz w:val="16"/>
              </w:rPr>
              <w:t>Low</w:t>
            </w:r>
          </w:p>
        </w:tc>
        <w:tc>
          <w:tcPr>
            <w:tcW w:type="dxa" w:w="1626"/>
            <w:tcMar>
              <w:top w:w="80" w:type="dxa"/>
              <w:start w:w="85" w:type="dxa"/>
              <w:bottom w:w="80" w:type="dxa"/>
              <w:end w:w="85" w:type="dxa"/>
            </w:tcMar>
          </w:tcPr>
          <w:p>
            <w:pPr>
              <w:spacing w:before="0" w:after="0" w:line="264" w:lineRule="auto"/>
            </w:pPr>
            <w:r>
              <w:rPr>
                <w:rFonts w:ascii="Calibri" w:hAnsi="Calibri"/>
                <w:b w:val="0"/>
                <w:i w:val="0"/>
                <w:color w:val="4B4F58"/>
                <w:sz w:val="16"/>
              </w:rPr>
              <w:t>Planning lead</w:t>
            </w:r>
          </w:p>
        </w:tc>
      </w:tr>
      <w:tr>
        <w:tc>
          <w:tcPr>
            <w:tcW w:type="dxa" w:w="57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R10</w:t>
            </w:r>
          </w:p>
        </w:tc>
        <w:tc>
          <w:tcPr>
            <w:tcW w:type="dxa" w:w="181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Stale or fabricated-looking location data misrepresents where a vehicle — and therefore a person — was at a given time.</w:t>
            </w:r>
          </w:p>
        </w:tc>
        <w:tc>
          <w:tcPr>
            <w:tcW w:type="dxa" w:w="10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Drivers and passengers</w:t>
            </w:r>
          </w:p>
        </w:tc>
        <w:tc>
          <w:tcPr>
            <w:tcW w:type="dxa" w:w="619"/>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579"/>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71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2245"/>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Provenance fields on every location record distinguishing measured, stale-fallback, scheduled or interpolated and bench-test values; stale positions expire rather than being presented as current; diagnostics persisted so the provenance of a historical record can be reconstructed; no disciplinary or evidential use of a record without a measured fix.</w:t>
            </w:r>
          </w:p>
        </w:tc>
        <w:tc>
          <w:tcPr>
            <w:tcW w:type="dxa" w:w="69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Low</w:t>
            </w:r>
          </w:p>
        </w:tc>
        <w:tc>
          <w:tcPr>
            <w:tcW w:type="dxa" w:w="162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Supplier engineering lead</w:t>
            </w:r>
          </w:p>
        </w:tc>
      </w:tr>
      <w:tr>
        <w:tc>
          <w:tcPr>
            <w:tcW w:type="dxa" w:w="579"/>
            <w:noWrap/>
            <w:tcMar>
              <w:top w:w="80" w:type="dxa"/>
              <w:start w:w="85" w:type="dxa"/>
              <w:bottom w:w="80" w:type="dxa"/>
              <w:end w:w="85" w:type="dxa"/>
            </w:tcMar>
          </w:tcPr>
          <w:p>
            <w:pPr>
              <w:spacing w:before="0" w:after="0" w:line="264" w:lineRule="auto"/>
            </w:pPr>
            <w:r>
              <w:rPr>
                <w:rFonts w:ascii="Calibri" w:hAnsi="Calibri"/>
                <w:b/>
                <w:i w:val="0"/>
                <w:color w:val="2C3338"/>
                <w:sz w:val="16"/>
              </w:rPr>
              <w:t>R11</w:t>
            </w:r>
          </w:p>
        </w:tc>
        <w:tc>
          <w:tcPr>
            <w:tcW w:type="dxa" w:w="1816"/>
            <w:tcMar>
              <w:top w:w="80" w:type="dxa"/>
              <w:start w:w="85" w:type="dxa"/>
              <w:bottom w:w="80" w:type="dxa"/>
              <w:end w:w="85" w:type="dxa"/>
            </w:tcMar>
          </w:tcPr>
          <w:p>
            <w:pPr>
              <w:spacing w:before="0" w:after="0" w:line="264" w:lineRule="auto"/>
            </w:pPr>
            <w:r>
              <w:rPr>
                <w:rFonts w:ascii="Calibri" w:hAnsi="Calibri"/>
                <w:b w:val="0"/>
                <w:i w:val="0"/>
                <w:color w:val="4B4F58"/>
                <w:sz w:val="16"/>
              </w:rPr>
              <w:t>Transfer or hosting outside the United Kingdom — data, backups or remote support sit outside the UK without a transfer mechanism.</w:t>
            </w:r>
          </w:p>
        </w:tc>
        <w:tc>
          <w:tcPr>
            <w:tcW w:type="dxa" w:w="1098"/>
            <w:tcMar>
              <w:top w:w="80" w:type="dxa"/>
              <w:start w:w="85" w:type="dxa"/>
              <w:bottom w:w="80" w:type="dxa"/>
              <w:end w:w="85" w:type="dxa"/>
            </w:tcMar>
          </w:tcPr>
          <w:p>
            <w:pPr>
              <w:spacing w:before="0" w:after="0" w:line="264" w:lineRule="auto"/>
            </w:pPr>
            <w:r>
              <w:rPr>
                <w:rFonts w:ascii="Calibri" w:hAnsi="Calibri"/>
                <w:b w:val="0"/>
                <w:i w:val="0"/>
                <w:color w:val="4B4F58"/>
                <w:sz w:val="16"/>
              </w:rPr>
              <w:t>Passengers and staff</w:t>
            </w:r>
          </w:p>
        </w:tc>
        <w:tc>
          <w:tcPr>
            <w:tcW w:type="dxa" w:w="619"/>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579"/>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718"/>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2245"/>
            <w:tcMar>
              <w:top w:w="80" w:type="dxa"/>
              <w:start w:w="85" w:type="dxa"/>
              <w:bottom w:w="80" w:type="dxa"/>
              <w:end w:w="85" w:type="dxa"/>
            </w:tcMar>
          </w:tcPr>
          <w:p>
            <w:pPr>
              <w:spacing w:before="0" w:after="0" w:line="264" w:lineRule="auto"/>
            </w:pPr>
            <w:r>
              <w:rPr>
                <w:rFonts w:ascii="Calibri" w:hAnsi="Calibri"/>
                <w:b w:val="0"/>
                <w:i w:val="0"/>
                <w:color w:val="4B4F58"/>
                <w:sz w:val="16"/>
              </w:rPr>
              <w:t>Document hosting, backup and support locations in the sub-processor register; contractual transfer mechanism and transfer risk assessment where applicable; restrict support access to named individuals with logged, time-limited sessions.</w:t>
            </w:r>
          </w:p>
        </w:tc>
        <w:tc>
          <w:tcPr>
            <w:tcW w:type="dxa" w:w="698"/>
            <w:noWrap/>
            <w:tcMar>
              <w:top w:w="80" w:type="dxa"/>
              <w:start w:w="85" w:type="dxa"/>
              <w:bottom w:w="80" w:type="dxa"/>
              <w:end w:w="85" w:type="dxa"/>
            </w:tcMar>
          </w:tcPr>
          <w:p>
            <w:pPr>
              <w:spacing w:before="0" w:after="0" w:line="264" w:lineRule="auto"/>
            </w:pPr>
            <w:r>
              <w:rPr>
                <w:rFonts w:ascii="Calibri" w:hAnsi="Calibri"/>
                <w:b w:val="0"/>
                <w:i w:val="0"/>
                <w:color w:val="4B4F58"/>
                <w:sz w:val="16"/>
              </w:rPr>
              <w:t>Low</w:t>
            </w:r>
          </w:p>
        </w:tc>
        <w:tc>
          <w:tcPr>
            <w:tcW w:type="dxa" w:w="1626"/>
            <w:tcMar>
              <w:top w:w="80" w:type="dxa"/>
              <w:start w:w="85" w:type="dxa"/>
              <w:bottom w:w="80" w:type="dxa"/>
              <w:end w:w="85" w:type="dxa"/>
            </w:tcMar>
          </w:tcPr>
          <w:p>
            <w:pPr>
              <w:spacing w:before="0" w:after="0" w:line="264" w:lineRule="auto"/>
            </w:pPr>
            <w:r>
              <w:rPr>
                <w:rFonts w:ascii="Calibri" w:hAnsi="Calibri"/>
                <w:b w:val="0"/>
                <w:i w:val="0"/>
                <w:color w:val="4B4F58"/>
                <w:sz w:val="16"/>
              </w:rPr>
              <w:t>DPO and commercial lead</w:t>
            </w:r>
          </w:p>
        </w:tc>
      </w:tr>
      <w:tr>
        <w:tc>
          <w:tcPr>
            <w:tcW w:type="dxa" w:w="57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R12</w:t>
            </w:r>
          </w:p>
        </w:tc>
        <w:tc>
          <w:tcPr>
            <w:tcW w:type="dxa" w:w="181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Supplier or sub-processor change made without assessment — a new hosting provider, broker or analytics component is introduced silently.</w:t>
            </w:r>
          </w:p>
        </w:tc>
        <w:tc>
          <w:tcPr>
            <w:tcW w:type="dxa" w:w="10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Passengers and staff</w:t>
            </w:r>
          </w:p>
        </w:tc>
        <w:tc>
          <w:tcPr>
            <w:tcW w:type="dxa" w:w="619"/>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579"/>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71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2245"/>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Contractual notice and objection rights for sub-processor change; maintained sub-processor register; change treated as a DPIA review trigger; exit and data-return or deletion terms agreed at contract, with evidence of deletion.</w:t>
            </w:r>
          </w:p>
        </w:tc>
        <w:tc>
          <w:tcPr>
            <w:tcW w:type="dxa" w:w="69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Low</w:t>
            </w:r>
          </w:p>
        </w:tc>
        <w:tc>
          <w:tcPr>
            <w:tcW w:type="dxa" w:w="162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Commercial lead</w:t>
            </w:r>
          </w:p>
        </w:tc>
      </w:tr>
      <w:tr>
        <w:tc>
          <w:tcPr>
            <w:tcW w:type="dxa" w:w="579"/>
            <w:noWrap/>
            <w:tcMar>
              <w:top w:w="80" w:type="dxa"/>
              <w:start w:w="85" w:type="dxa"/>
              <w:bottom w:w="80" w:type="dxa"/>
              <w:end w:w="85" w:type="dxa"/>
            </w:tcMar>
          </w:tcPr>
          <w:p>
            <w:pPr>
              <w:spacing w:before="0" w:after="0" w:line="264" w:lineRule="auto"/>
            </w:pPr>
            <w:r>
              <w:rPr>
                <w:rFonts w:ascii="Calibri" w:hAnsi="Calibri"/>
                <w:b/>
                <w:i w:val="0"/>
                <w:color w:val="2C3338"/>
                <w:sz w:val="16"/>
              </w:rPr>
              <w:t>R13</w:t>
            </w:r>
          </w:p>
        </w:tc>
        <w:tc>
          <w:tcPr>
            <w:tcW w:type="dxa" w:w="1816"/>
            <w:tcMar>
              <w:top w:w="80" w:type="dxa"/>
              <w:start w:w="85" w:type="dxa"/>
              <w:bottom w:w="80" w:type="dxa"/>
              <w:end w:w="85" w:type="dxa"/>
            </w:tcMar>
          </w:tcPr>
          <w:p>
            <w:pPr>
              <w:spacing w:before="0" w:after="0" w:line="264" w:lineRule="auto"/>
            </w:pPr>
            <w:r>
              <w:rPr>
                <w:rFonts w:ascii="Calibri" w:hAnsi="Calibri"/>
                <w:b w:val="0"/>
                <w:i w:val="0"/>
                <w:color w:val="4B4F58"/>
                <w:sz w:val="16"/>
              </w:rPr>
              <w:t>Loss of availability hides an outage — a silent sensor or gateway makes a vehicle appear empty rather than unmonitored, corrupting the planning picture.</w:t>
            </w:r>
          </w:p>
        </w:tc>
        <w:tc>
          <w:tcPr>
            <w:tcW w:type="dxa" w:w="1098"/>
            <w:tcMar>
              <w:top w:w="80" w:type="dxa"/>
              <w:start w:w="85" w:type="dxa"/>
              <w:bottom w:w="80" w:type="dxa"/>
              <w:end w:w="85" w:type="dxa"/>
            </w:tcMar>
          </w:tcPr>
          <w:p>
            <w:pPr>
              <w:spacing w:before="0" w:after="0" w:line="264" w:lineRule="auto"/>
            </w:pPr>
            <w:r>
              <w:rPr>
                <w:rFonts w:ascii="Calibri" w:hAnsi="Calibri"/>
                <w:b w:val="0"/>
                <w:i w:val="0"/>
                <w:color w:val="4B4F58"/>
                <w:sz w:val="16"/>
              </w:rPr>
              <w:t>Passengers and operator</w:t>
            </w:r>
          </w:p>
        </w:tc>
        <w:tc>
          <w:tcPr>
            <w:tcW w:type="dxa" w:w="619"/>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579"/>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718"/>
            <w:noWrap/>
            <w:tcMar>
              <w:top w:w="80" w:type="dxa"/>
              <w:start w:w="85" w:type="dxa"/>
              <w:bottom w:w="80" w:type="dxa"/>
              <w:end w:w="85" w:type="dxa"/>
            </w:tcMar>
          </w:tcPr>
          <w:p>
            <w:pPr>
              <w:spacing w:before="0" w:after="0" w:line="264" w:lineRule="auto"/>
            </w:pPr>
            <w:r>
              <w:rPr>
                <w:rFonts w:ascii="Calibri" w:hAnsi="Calibri"/>
                <w:b w:val="0"/>
                <w:i w:val="0"/>
                <w:color w:val="4B4F58"/>
                <w:sz w:val="16"/>
              </w:rPr>
              <w:t>High</w:t>
            </w:r>
          </w:p>
        </w:tc>
        <w:tc>
          <w:tcPr>
            <w:tcW w:type="dxa" w:w="2245"/>
            <w:tcMar>
              <w:top w:w="80" w:type="dxa"/>
              <w:start w:w="85" w:type="dxa"/>
              <w:bottom w:w="80" w:type="dxa"/>
              <w:end w:w="85" w:type="dxa"/>
            </w:tcMar>
          </w:tcPr>
          <w:p>
            <w:pPr>
              <w:spacing w:before="0" w:after="0" w:line="264" w:lineRule="auto"/>
            </w:pPr>
            <w:r>
              <w:rPr>
                <w:rFonts w:ascii="Calibri" w:hAnsi="Calibri"/>
                <w:b w:val="0"/>
                <w:i w:val="0"/>
                <w:color w:val="4B4F58"/>
                <w:sz w:val="16"/>
              </w:rPr>
              <w:t>Feed-liveness thresholds with explicit stale and offline states; known fleet seeded so a silent vehicle cannot drop out of the coverage denominator; scheduled shutdowns classified as expected rather than as faults; derived alerts suppressed on untrusted data; outage visible on the dashboard and in exports.</w:t>
            </w:r>
          </w:p>
        </w:tc>
        <w:tc>
          <w:tcPr>
            <w:tcW w:type="dxa" w:w="698"/>
            <w:noWrap/>
            <w:tcMar>
              <w:top w:w="80" w:type="dxa"/>
              <w:start w:w="85" w:type="dxa"/>
              <w:bottom w:w="80" w:type="dxa"/>
              <w:end w:w="85" w:type="dxa"/>
            </w:tcMar>
          </w:tcPr>
          <w:p>
            <w:pPr>
              <w:spacing w:before="0" w:after="0" w:line="264" w:lineRule="auto"/>
            </w:pPr>
            <w:r>
              <w:rPr>
                <w:rFonts w:ascii="Calibri" w:hAnsi="Calibri"/>
                <w:b w:val="0"/>
                <w:i w:val="0"/>
                <w:color w:val="4B4F58"/>
                <w:sz w:val="16"/>
              </w:rPr>
              <w:t>Low</w:t>
            </w:r>
          </w:p>
        </w:tc>
        <w:tc>
          <w:tcPr>
            <w:tcW w:type="dxa" w:w="1626"/>
            <w:tcMar>
              <w:top w:w="80" w:type="dxa"/>
              <w:start w:w="85" w:type="dxa"/>
              <w:bottom w:w="80" w:type="dxa"/>
              <w:end w:w="85" w:type="dxa"/>
            </w:tcMar>
          </w:tcPr>
          <w:p>
            <w:pPr>
              <w:spacing w:before="0" w:after="0" w:line="264" w:lineRule="auto"/>
            </w:pPr>
            <w:r>
              <w:rPr>
                <w:rFonts w:ascii="Calibri" w:hAnsi="Calibri"/>
                <w:b w:val="0"/>
                <w:i w:val="0"/>
                <w:color w:val="4B4F58"/>
                <w:sz w:val="16"/>
              </w:rPr>
              <w:t>Supplier support</w:t>
            </w:r>
          </w:p>
        </w:tc>
      </w:tr>
      <w:tr>
        <w:tc>
          <w:tcPr>
            <w:tcW w:type="dxa" w:w="57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R14</w:t>
            </w:r>
          </w:p>
        </w:tc>
        <w:tc>
          <w:tcPr>
            <w:tcW w:type="dxa" w:w="181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Passengers and staff unaware of the processing — no notice, or notice that does not describe what is actually happening.</w:t>
            </w:r>
          </w:p>
        </w:tc>
        <w:tc>
          <w:tcPr>
            <w:tcW w:type="dxa" w:w="10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Passengers and drivers</w:t>
            </w:r>
          </w:p>
        </w:tc>
        <w:tc>
          <w:tcPr>
            <w:tcW w:type="dxa" w:w="619"/>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579"/>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71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Med</w:t>
            </w:r>
          </w:p>
        </w:tc>
        <w:tc>
          <w:tcPr>
            <w:tcW w:type="dxa" w:w="2245"/>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On-vehicle notices at each door; privacy notice section published and dated; notice text reviewed whenever analytics change; staff briefing and, where welfare monitoring affects drivers, consultation with staff representatives.</w:t>
            </w:r>
          </w:p>
        </w:tc>
        <w:tc>
          <w:tcPr>
            <w:tcW w:type="dxa" w:w="69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Low</w:t>
            </w:r>
          </w:p>
        </w:tc>
        <w:tc>
          <w:tcPr>
            <w:tcW w:type="dxa" w:w="162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Comms lead</w:t>
            </w:r>
          </w:p>
        </w:tc>
      </w:tr>
    </w:tbl>
    <w:p>
      <w:pPr>
        <w:spacing w:before="0" w:after="100" w:line="240" w:lineRule="auto"/>
      </w:pPr>
    </w:p>
    <w:p>
      <w:pPr>
        <w:spacing w:before="0" w:after="100" w:line="283" w:lineRule="auto"/>
      </w:pPr>
      <w:r>
        <w:rPr>
          <w:rFonts w:ascii="Calibri" w:hAnsi="Calibri"/>
          <w:b w:val="0"/>
          <w:i w:val="0"/>
          <w:color w:val="4B4F58"/>
          <w:sz w:val="19"/>
        </w:rPr>
        <w:t>Scores shown are an illustrative starting position drawn from typical deployments. Re-score every row for your own fleet, service mix and control environment, and add any risk specific to your operation. Add rows as needed.</w:t>
      </w:r>
    </w:p>
    <w:tbl>
      <w:tblPr>
        <w:tblW w:type="auto" w:w="0"/>
        <w:tblBorders>
          <w:top w:val="none"/>
          <w:left w:val="none"/>
          <w:bottom w:val="none"/>
          <w:right w:val="none"/>
          <w:insideH w:val="none"/>
          <w:insideV w:val="none"/>
        </w:tblBorders>
        <w:tblLayout w:type="fixed"/>
        <w:tblLook w:firstColumn="1" w:firstRow="1" w:lastColumn="0" w:lastRow="0" w:noHBand="0" w:noVBand="1" w:val="04A0"/>
      </w:tblPr>
      <w:tblGrid>
        <w:gridCol w:w="9978"/>
      </w:tblGrid>
      <w:tr>
        <w:trPr>
          <w:cantSplit/>
        </w:trPr>
        <w:tc>
          <w:tcPr>
            <w:tcW w:type="dxa" w:w="9978"/>
            <w:tcMar>
              <w:top w:w="20" w:type="dxa"/>
              <w:start w:w="20" w:type="dxa"/>
              <w:bottom w:w="20" w:type="dxa"/>
              <w:end w:w="20" w:type="dxa"/>
            </w:tcMar>
          </w:tcPr>
          <w:p>
            <w:pPr>
              <w:keepNext/>
              <w:spacing w:before="0" w:after="20" w:line="240" w:lineRule="auto"/>
            </w:pPr>
            <w:r>
              <w:rPr>
                <w:rFonts w:ascii="Calibri" w:hAnsi="Calibri"/>
                <w:b/>
                <w:i w:val="0"/>
                <w:color w:val="19455E"/>
                <w:sz w:val="16"/>
              </w:rPr>
              <w:t>Additional risks identified locally</w:t>
            </w:r>
          </w:p>
        </w:tc>
      </w:tr>
      <w:tr>
        <w:trPr>
          <w:cantSplit/>
        </w:trPr>
        <w:tc>
          <w:tcPr>
            <w:tcW w:type="dxa" w:w="9978"/>
            <w:tcBorders>
              <w:top w:val="single" w:sz="6" w:color="C9CFD6"/>
              <w:left w:val="single" w:sz="6" w:color="C9CFD6"/>
              <w:bottom w:val="single" w:sz="6" w:color="C9CFD6"/>
              <w:right w:val="single" w:sz="6" w:color="C9CFD6"/>
            </w:tcBorders>
            <w:shd w:val="clear" w:color="auto" w:fill="F2F6FA"/>
            <w:tcMar>
              <w:top w:w="60" w:type="dxa"/>
              <w:start w:w="90" w:type="dxa"/>
              <w:bottom w:w="60" w:type="dxa"/>
              <w:end w:w="90" w:type="dxa"/>
            </w:tcMar>
          </w:tcPr>
          <w:p>
            <w:pPr>
              <w:keepNext/>
              <w:spacing w:before="0" w:after="0" w:line="300" w:lineRule="auto"/>
            </w:pPr>
            <w:r>
              <w:rPr>
                <w:sz w:val="19"/>
              </w:rPr>
            </w:r>
          </w:p>
          <w:p>
            <w:pPr>
              <w:keepNext/>
              <w:spacing w:before="0" w:after="0" w:line="300" w:lineRule="auto"/>
            </w:pPr>
            <w:r>
              <w:rPr>
                <w:sz w:val="19"/>
              </w:rPr>
            </w:r>
          </w:p>
          <w:p>
            <w:pPr>
              <w:keepNext/>
              <w:spacing w:before="0" w:after="0" w:line="300" w:lineRule="auto"/>
            </w:pPr>
            <w:r>
              <w:rPr>
                <w:sz w:val="19"/>
              </w:rPr>
            </w:r>
          </w:p>
        </w:tc>
      </w:tr>
    </w:tbl>
    <w:tbl>
      <w:tblPr>
        <w:tblW w:type="auto" w:w="0"/>
        <w:jc w:val="left"/>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9978"/>
      </w:tblGrid>
      <w:tr>
        <w:trPr>
          <w:cantSplit/>
        </w:trPr>
        <w:tc>
          <w:tcPr>
            <w:tcW w:type="dxa" w:w="9978"/>
            <w:shd w:val="clear" w:color="auto" w:fill="03273F"/>
            <w:tcMar>
              <w:top w:w="150" w:type="dxa"/>
              <w:start w:w="170" w:type="dxa"/>
              <w:bottom w:w="150" w:type="dxa"/>
              <w:end w:w="170" w:type="dxa"/>
            </w:tcMar>
          </w:tcPr>
          <w:p>
            <w:pPr>
              <w:keepNext/>
              <w:spacing w:before="0" w:after="0" w:line="264" w:lineRule="auto"/>
            </w:pPr>
            <w:r>
              <w:rPr>
                <w:rFonts w:ascii="Calibri" w:hAnsi="Calibri"/>
                <w:b/>
                <w:color w:val="FFFFFF"/>
                <w:sz w:val="30"/>
              </w:rPr>
              <w:t>Step 6 — Measures and controls</w:t>
            </w:r>
          </w:p>
        </w:tc>
      </w:tr>
    </w:tbl>
    <w:p>
      <w:pPr>
        <w:keepNext/>
        <w:spacing w:before="0" w:after="60" w:line="240" w:lineRule="auto"/>
      </w:pPr>
    </w:p>
    <w:p>
      <w:pPr>
        <w:spacing w:before="0" w:after="100" w:line="283" w:lineRule="auto"/>
      </w:pPr>
      <w:r>
        <w:rPr>
          <w:rFonts w:ascii="Calibri" w:hAnsi="Calibri"/>
          <w:b w:val="0"/>
          <w:i w:val="0"/>
          <w:color w:val="4B4F58"/>
          <w:sz w:val="19"/>
        </w:rPr>
        <w:t>Record the technical and organisational measures you rely on, which risks each one addresses, and — importantly — the evidence that the measure is actually in place. A control that exists only in a product description does not reduce residual risk.</w:t>
      </w:r>
    </w:p>
    <w:p>
      <w:pPr>
        <w:keepNext/>
        <w:spacing w:before="180" w:after="60" w:line="264" w:lineRule="auto"/>
      </w:pPr>
      <w:r>
        <w:rPr>
          <w:rFonts w:ascii="Calibri" w:hAnsi="Calibri"/>
          <w:b/>
          <w:i w:val="0"/>
          <w:color w:val="03273F"/>
          <w:sz w:val="24"/>
        </w:rPr>
        <w:t>6.1 Technical measures</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2395"/>
        <w:gridCol w:w="3592"/>
        <w:gridCol w:w="998"/>
        <w:gridCol w:w="2993"/>
      </w:tblGrid>
      <w:tr>
        <w:trPr>
          <w:tblHeader w:val="true"/>
        </w:trPr>
        <w:tc>
          <w:tcPr>
            <w:tcW w:type="dxa" w:w="2395"/>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Measure</w:t>
            </w:r>
          </w:p>
        </w:tc>
        <w:tc>
          <w:tcPr>
            <w:tcW w:type="dxa" w:w="3592"/>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What it does</w:t>
            </w:r>
          </w:p>
        </w:tc>
        <w:tc>
          <w:tcPr>
            <w:tcW w:type="dxa" w:w="998"/>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Risks</w:t>
            </w:r>
          </w:p>
        </w:tc>
        <w:tc>
          <w:tcPr>
            <w:tcW w:type="dxa" w:w="29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Evidence and status</w:t>
            </w:r>
          </w:p>
        </w:tc>
      </w:tr>
      <w:tr>
        <w:tc>
          <w:tcPr>
            <w:tcW w:type="dxa" w:w="2395"/>
            <w:tcMar>
              <w:top w:w="80" w:type="dxa"/>
              <w:start w:w="85" w:type="dxa"/>
              <w:bottom w:w="80" w:type="dxa"/>
              <w:end w:w="85" w:type="dxa"/>
            </w:tcMar>
          </w:tcPr>
          <w:p>
            <w:pPr>
              <w:spacing w:before="0" w:after="0" w:line="264" w:lineRule="auto"/>
            </w:pPr>
            <w:r>
              <w:rPr>
                <w:rFonts w:ascii="Calibri" w:hAnsi="Calibri"/>
                <w:b/>
                <w:i w:val="0"/>
                <w:color w:val="2C3338"/>
                <w:sz w:val="16"/>
              </w:rPr>
              <w:t>On-device counting</w:t>
            </w:r>
          </w:p>
        </w:tc>
        <w:tc>
          <w:tcPr>
            <w:tcW w:type="dxa" w:w="3592"/>
            <w:tcMar>
              <w:top w:w="80" w:type="dxa"/>
              <w:start w:w="85" w:type="dxa"/>
              <w:bottom w:w="80" w:type="dxa"/>
              <w:end w:w="85" w:type="dxa"/>
            </w:tcMar>
          </w:tcPr>
          <w:p>
            <w:pPr>
              <w:spacing w:before="0" w:after="0" w:line="264" w:lineRule="auto"/>
            </w:pPr>
            <w:r>
              <w:rPr>
                <w:rFonts w:ascii="Calibri" w:hAnsi="Calibri"/>
                <w:b w:val="0"/>
                <w:i w:val="0"/>
                <w:color w:val="4B4F58"/>
                <w:sz w:val="16"/>
              </w:rPr>
              <w:t>Detection and counting occur on the sensor; only counts leave the device, so no image or device identifier enters the data chain in the counting path. Verify in the specific installation.</w:t>
            </w:r>
          </w:p>
        </w:tc>
        <w:tc>
          <w:tcPr>
            <w:tcW w:type="dxa" w:w="998"/>
            <w:tcMar>
              <w:top w:w="80" w:type="dxa"/>
              <w:start w:w="85" w:type="dxa"/>
              <w:bottom w:w="80" w:type="dxa"/>
              <w:end w:w="85" w:type="dxa"/>
            </w:tcMar>
          </w:tcPr>
          <w:p>
            <w:pPr>
              <w:spacing w:before="0" w:after="0" w:line="264" w:lineRule="auto"/>
            </w:pPr>
            <w:r>
              <w:rPr>
                <w:rFonts w:ascii="Calibri" w:hAnsi="Calibri"/>
                <w:b w:val="0"/>
                <w:i w:val="0"/>
                <w:color w:val="4B4F58"/>
                <w:sz w:val="16"/>
              </w:rPr>
              <w:t>R1, R2</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Event-only welfare output</w:t>
            </w:r>
          </w:p>
        </w:tc>
        <w:tc>
          <w:tcPr>
            <w:tcW w:type="dxa" w:w="3592"/>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Camera analytics run on the camera; a relay ignores clear states, applies a repeat cooldown and posts normalised event states — signal, severity, zone, source, confidence, acknowledgement — rather than video.</w:t>
            </w:r>
          </w:p>
        </w:tc>
        <w:tc>
          <w:tcPr>
            <w:tcW w:type="dxa" w:w="9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R7, R8</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tcMar>
              <w:top w:w="80" w:type="dxa"/>
              <w:start w:w="85" w:type="dxa"/>
              <w:bottom w:w="80" w:type="dxa"/>
              <w:end w:w="85" w:type="dxa"/>
            </w:tcMar>
          </w:tcPr>
          <w:p>
            <w:pPr>
              <w:spacing w:before="0" w:after="0" w:line="264" w:lineRule="auto"/>
            </w:pPr>
            <w:r>
              <w:rPr>
                <w:rFonts w:ascii="Calibri" w:hAnsi="Calibri"/>
                <w:b/>
                <w:i w:val="0"/>
                <w:color w:val="2C3338"/>
                <w:sz w:val="16"/>
              </w:rPr>
              <w:t>TLS in transit</w:t>
            </w:r>
          </w:p>
        </w:tc>
        <w:tc>
          <w:tcPr>
            <w:tcW w:type="dxa" w:w="3592"/>
            <w:tcMar>
              <w:top w:w="80" w:type="dxa"/>
              <w:start w:w="85" w:type="dxa"/>
              <w:bottom w:w="80" w:type="dxa"/>
              <w:end w:w="85" w:type="dxa"/>
            </w:tcMar>
          </w:tcPr>
          <w:p>
            <w:pPr>
              <w:spacing w:before="0" w:after="0" w:line="264" w:lineRule="auto"/>
            </w:pPr>
            <w:r>
              <w:rPr>
                <w:rFonts w:ascii="Calibri" w:hAnsi="Calibri"/>
                <w:b w:val="0"/>
                <w:i w:val="0"/>
                <w:color w:val="4B4F58"/>
                <w:sz w:val="16"/>
              </w:rPr>
              <w:t>All telemetry published over MQTT secured with TLS; API and dashboard traffic over HTTPS.</w:t>
            </w:r>
          </w:p>
        </w:tc>
        <w:tc>
          <w:tcPr>
            <w:tcW w:type="dxa" w:w="998"/>
            <w:tcMar>
              <w:top w:w="80" w:type="dxa"/>
              <w:start w:w="85" w:type="dxa"/>
              <w:bottom w:w="80" w:type="dxa"/>
              <w:end w:w="85" w:type="dxa"/>
            </w:tcMar>
          </w:tcPr>
          <w:p>
            <w:pPr>
              <w:spacing w:before="0" w:after="0" w:line="264" w:lineRule="auto"/>
            </w:pPr>
            <w:r>
              <w:rPr>
                <w:rFonts w:ascii="Calibri" w:hAnsi="Calibri"/>
                <w:b w:val="0"/>
                <w:i w:val="0"/>
                <w:color w:val="4B4F58"/>
                <w:sz w:val="16"/>
              </w:rPr>
              <w:t>R5, R6</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Per-client broker credentials, least privilege</w:t>
            </w:r>
          </w:p>
        </w:tc>
        <w:tc>
          <w:tcPr>
            <w:tcW w:type="dxa" w:w="3592"/>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Each vehicle and each environment holds its own credential with topic-scoped permissions, so one compromise does not expose the fleet.</w:t>
            </w:r>
          </w:p>
        </w:tc>
        <w:tc>
          <w:tcPr>
            <w:tcW w:type="dxa" w:w="99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R6</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tcMar>
              <w:top w:w="80" w:type="dxa"/>
              <w:start w:w="85" w:type="dxa"/>
              <w:bottom w:w="80" w:type="dxa"/>
              <w:end w:w="85" w:type="dxa"/>
            </w:tcMar>
          </w:tcPr>
          <w:p>
            <w:pPr>
              <w:spacing w:before="0" w:after="0" w:line="264" w:lineRule="auto"/>
            </w:pPr>
            <w:r>
              <w:rPr>
                <w:rFonts w:ascii="Calibri" w:hAnsi="Calibri"/>
                <w:b/>
                <w:i w:val="0"/>
                <w:color w:val="2C3338"/>
                <w:sz w:val="16"/>
              </w:rPr>
              <w:t>Credential rotation and secret hygiene</w:t>
            </w:r>
          </w:p>
        </w:tc>
        <w:tc>
          <w:tcPr>
            <w:tcW w:type="dxa" w:w="3592"/>
            <w:tcMar>
              <w:top w:w="80" w:type="dxa"/>
              <w:start w:w="85" w:type="dxa"/>
              <w:bottom w:w="80" w:type="dxa"/>
              <w:end w:w="85" w:type="dxa"/>
            </w:tcMar>
          </w:tcPr>
          <w:p>
            <w:pPr>
              <w:spacing w:before="0" w:after="0" w:line="264" w:lineRule="auto"/>
            </w:pPr>
            <w:r>
              <w:rPr>
                <w:rFonts w:ascii="Calibri" w:hAnsi="Calibri"/>
                <w:b w:val="0"/>
                <w:i w:val="0"/>
                <w:color w:val="4B4F58"/>
                <w:sz w:val="16"/>
              </w:rPr>
              <w:t>Broker and dashboard credentials removed from code, rotated before go-live and on suspicion of exposure; secrets held in environment configuration.</w:t>
            </w:r>
          </w:p>
        </w:tc>
        <w:tc>
          <w:tcPr>
            <w:tcW w:type="dxa" w:w="998"/>
            <w:tcMar>
              <w:top w:w="80" w:type="dxa"/>
              <w:start w:w="85" w:type="dxa"/>
              <w:bottom w:w="80" w:type="dxa"/>
              <w:end w:w="85" w:type="dxa"/>
            </w:tcMar>
          </w:tcPr>
          <w:p>
            <w:pPr>
              <w:spacing w:before="0" w:after="0" w:line="264" w:lineRule="auto"/>
            </w:pPr>
            <w:r>
              <w:rPr>
                <w:rFonts w:ascii="Calibri" w:hAnsi="Calibri"/>
                <w:b w:val="0"/>
                <w:i w:val="0"/>
                <w:color w:val="4B4F58"/>
                <w:sz w:val="16"/>
              </w:rPr>
              <w:t>R4, R5</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Environment isolation</w:t>
            </w:r>
          </w:p>
        </w:tc>
        <w:tc>
          <w:tcPr>
            <w:tcW w:type="dxa" w:w="3592"/>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Development and welfare-module work run on separate services, databases, volumes and broker client identifiers, so new development cannot displace or corrupt production.</w:t>
            </w:r>
          </w:p>
        </w:tc>
        <w:tc>
          <w:tcPr>
            <w:tcW w:type="dxa" w:w="9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R12, R13</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tcMar>
              <w:top w:w="80" w:type="dxa"/>
              <w:start w:w="85" w:type="dxa"/>
              <w:bottom w:w="80" w:type="dxa"/>
              <w:end w:w="85" w:type="dxa"/>
            </w:tcMar>
          </w:tcPr>
          <w:p>
            <w:pPr>
              <w:spacing w:before="0" w:after="0" w:line="264" w:lineRule="auto"/>
            </w:pPr>
            <w:r>
              <w:rPr>
                <w:rFonts w:ascii="Calibri" w:hAnsi="Calibri"/>
                <w:b/>
                <w:i w:val="0"/>
                <w:color w:val="2C3338"/>
                <w:sz w:val="16"/>
              </w:rPr>
              <w:t>Health-gated releases</w:t>
            </w:r>
          </w:p>
        </w:tc>
        <w:tc>
          <w:tcPr>
            <w:tcW w:type="dxa" w:w="3592"/>
            <w:tcMar>
              <w:top w:w="80" w:type="dxa"/>
              <w:start w:w="85" w:type="dxa"/>
              <w:bottom w:w="80" w:type="dxa"/>
              <w:end w:w="85" w:type="dxa"/>
            </w:tcMar>
          </w:tcPr>
          <w:p>
            <w:pPr>
              <w:spacing w:before="0" w:after="0" w:line="264" w:lineRule="auto"/>
            </w:pPr>
            <w:r>
              <w:rPr>
                <w:rFonts w:ascii="Calibri" w:hAnsi="Calibri"/>
                <w:b w:val="0"/>
                <w:i w:val="0"/>
                <w:color w:val="4B4F58"/>
                <w:sz w:val="16"/>
              </w:rPr>
              <w:t>A health endpoint gates deployment; a failed validation leaves the previous working release serving.</w:t>
            </w:r>
          </w:p>
        </w:tc>
        <w:tc>
          <w:tcPr>
            <w:tcW w:type="dxa" w:w="998"/>
            <w:noWrap/>
            <w:tcMar>
              <w:top w:w="80" w:type="dxa"/>
              <w:start w:w="85" w:type="dxa"/>
              <w:bottom w:w="80" w:type="dxa"/>
              <w:end w:w="85" w:type="dxa"/>
            </w:tcMar>
          </w:tcPr>
          <w:p>
            <w:pPr>
              <w:spacing w:before="0" w:after="0" w:line="264" w:lineRule="auto"/>
            </w:pPr>
            <w:r>
              <w:rPr>
                <w:rFonts w:ascii="Calibri" w:hAnsi="Calibri"/>
                <w:b w:val="0"/>
                <w:i w:val="0"/>
                <w:color w:val="4B4F58"/>
                <w:sz w:val="16"/>
              </w:rPr>
              <w:t>R13</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Persistent audit and diagnostic trail</w:t>
            </w:r>
          </w:p>
        </w:tc>
        <w:tc>
          <w:tcPr>
            <w:tcW w:type="dxa" w:w="3592"/>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Diagnostic state is held on a persistent volume so it survives restarts and the provenance of a historical record can be reconstructed.</w:t>
            </w:r>
          </w:p>
        </w:tc>
        <w:tc>
          <w:tcPr>
            <w:tcW w:type="dxa" w:w="99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R10, R13</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tcMar>
              <w:top w:w="80" w:type="dxa"/>
              <w:start w:w="85" w:type="dxa"/>
              <w:bottom w:w="80" w:type="dxa"/>
              <w:end w:w="85" w:type="dxa"/>
            </w:tcMar>
          </w:tcPr>
          <w:p>
            <w:pPr>
              <w:spacing w:before="0" w:after="0" w:line="264" w:lineRule="auto"/>
            </w:pPr>
            <w:r>
              <w:rPr>
                <w:rFonts w:ascii="Calibri" w:hAnsi="Calibri"/>
                <w:b/>
                <w:i w:val="0"/>
                <w:color w:val="2C3338"/>
                <w:sz w:val="16"/>
              </w:rPr>
              <w:t>Provenance fields on location records</w:t>
            </w:r>
          </w:p>
        </w:tc>
        <w:tc>
          <w:tcPr>
            <w:tcW w:type="dxa" w:w="3592"/>
            <w:tcMar>
              <w:top w:w="80" w:type="dxa"/>
              <w:start w:w="85" w:type="dxa"/>
              <w:bottom w:w="80" w:type="dxa"/>
              <w:end w:w="85" w:type="dxa"/>
            </w:tcMar>
          </w:tcPr>
          <w:p>
            <w:pPr>
              <w:spacing w:before="0" w:after="0" w:line="264" w:lineRule="auto"/>
            </w:pPr>
            <w:r>
              <w:rPr>
                <w:rFonts w:ascii="Calibri" w:hAnsi="Calibri"/>
                <w:b w:val="0"/>
                <w:i w:val="0"/>
                <w:color w:val="4B4F58"/>
                <w:sz w:val="16"/>
              </w:rPr>
              <w:t>Every position carries validity and source fields distinguishing measured, stale-fallback, scheduled or interpolated and bench-test values.</w:t>
            </w:r>
          </w:p>
        </w:tc>
        <w:tc>
          <w:tcPr>
            <w:tcW w:type="dxa" w:w="998"/>
            <w:noWrap/>
            <w:tcMar>
              <w:top w:w="80" w:type="dxa"/>
              <w:start w:w="85" w:type="dxa"/>
              <w:bottom w:w="80" w:type="dxa"/>
              <w:end w:w="85" w:type="dxa"/>
            </w:tcMar>
          </w:tcPr>
          <w:p>
            <w:pPr>
              <w:spacing w:before="0" w:after="0" w:line="264" w:lineRule="auto"/>
            </w:pPr>
            <w:r>
              <w:rPr>
                <w:rFonts w:ascii="Calibri" w:hAnsi="Calibri"/>
                <w:b w:val="0"/>
                <w:i w:val="0"/>
                <w:color w:val="4B4F58"/>
                <w:sz w:val="16"/>
              </w:rPr>
              <w:t>R10</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Feed-liveness thresholds</w:t>
            </w:r>
          </w:p>
        </w:tc>
        <w:tc>
          <w:tcPr>
            <w:tcW w:type="dxa" w:w="3592"/>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Defined stale and offline thresholds, with the known fleet seeded so a silent vehicle remains visible in the coverage denominator.</w:t>
            </w:r>
          </w:p>
        </w:tc>
        <w:tc>
          <w:tcPr>
            <w:tcW w:type="dxa" w:w="99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R13</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tcMar>
              <w:top w:w="80" w:type="dxa"/>
              <w:start w:w="85" w:type="dxa"/>
              <w:bottom w:w="80" w:type="dxa"/>
              <w:end w:w="85" w:type="dxa"/>
            </w:tcMar>
          </w:tcPr>
          <w:p>
            <w:pPr>
              <w:spacing w:before="0" w:after="0" w:line="264" w:lineRule="auto"/>
            </w:pPr>
            <w:r>
              <w:rPr>
                <w:rFonts w:ascii="Calibri" w:hAnsi="Calibri"/>
                <w:b/>
                <w:i w:val="0"/>
                <w:color w:val="2C3338"/>
                <w:sz w:val="16"/>
              </w:rPr>
              <w:t>Suppression of derived alerts on untrusted data</w:t>
            </w:r>
          </w:p>
        </w:tc>
        <w:tc>
          <w:tcPr>
            <w:tcW w:type="dxa" w:w="3592"/>
            <w:tcMar>
              <w:top w:w="80" w:type="dxa"/>
              <w:start w:w="85" w:type="dxa"/>
              <w:bottom w:w="80" w:type="dxa"/>
              <w:end w:w="85" w:type="dxa"/>
            </w:tcMar>
          </w:tcPr>
          <w:p>
            <w:pPr>
              <w:spacing w:before="0" w:after="0" w:line="264" w:lineRule="auto"/>
            </w:pPr>
            <w:r>
              <w:rPr>
                <w:rFonts w:ascii="Calibri" w:hAnsi="Calibri"/>
                <w:b w:val="0"/>
                <w:i w:val="0"/>
                <w:color w:val="4B4F58"/>
                <w:sz w:val="16"/>
              </w:rPr>
              <w:t>Welfare and occupancy-gated rules are suppressed where the underlying passenger data is unreliable or a door feed is faulty.</w:t>
            </w:r>
          </w:p>
        </w:tc>
        <w:tc>
          <w:tcPr>
            <w:tcW w:type="dxa" w:w="998"/>
            <w:tcMar>
              <w:top w:w="80" w:type="dxa"/>
              <w:start w:w="85" w:type="dxa"/>
              <w:bottom w:w="80" w:type="dxa"/>
              <w:end w:w="85" w:type="dxa"/>
            </w:tcMar>
          </w:tcPr>
          <w:p>
            <w:pPr>
              <w:spacing w:before="0" w:after="0" w:line="264" w:lineRule="auto"/>
            </w:pPr>
            <w:r>
              <w:rPr>
                <w:rFonts w:ascii="Calibri" w:hAnsi="Calibri"/>
                <w:b w:val="0"/>
                <w:i w:val="0"/>
                <w:color w:val="4B4F58"/>
                <w:sz w:val="16"/>
              </w:rPr>
              <w:t>R7, R8, R13</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Retention enforcement</w:t>
            </w:r>
          </w:p>
        </w:tc>
        <w:tc>
          <w:tcPr>
            <w:tcW w:type="dxa" w:w="3592"/>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Retention periods configured and enforced by scheduled deletion, with deletion evidence available on request.</w:t>
            </w:r>
          </w:p>
        </w:tc>
        <w:tc>
          <w:tcPr>
            <w:tcW w:type="dxa" w:w="998"/>
            <w:shd w:val="clear" w:color="auto" w:fill="F7F8FA"/>
            <w:noWrap/>
            <w:tcMar>
              <w:top w:w="80" w:type="dxa"/>
              <w:start w:w="85" w:type="dxa"/>
              <w:bottom w:w="80" w:type="dxa"/>
              <w:end w:w="85" w:type="dxa"/>
            </w:tcMar>
          </w:tcPr>
          <w:p>
            <w:pPr>
              <w:spacing w:before="0" w:after="0" w:line="264" w:lineRule="auto"/>
            </w:pPr>
            <w:r>
              <w:rPr>
                <w:rFonts w:ascii="Calibri" w:hAnsi="Calibri"/>
                <w:b w:val="0"/>
                <w:i w:val="0"/>
                <w:color w:val="4B4F58"/>
                <w:sz w:val="16"/>
              </w:rPr>
              <w:t>R3</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tcMar>
              <w:top w:w="80" w:type="dxa"/>
              <w:start w:w="85" w:type="dxa"/>
              <w:bottom w:w="80" w:type="dxa"/>
              <w:end w:w="85" w:type="dxa"/>
            </w:tcMar>
          </w:tcPr>
          <w:p>
            <w:pPr>
              <w:spacing w:before="0" w:after="0" w:line="264" w:lineRule="auto"/>
            </w:pPr>
            <w:r>
              <w:rPr>
                <w:rFonts w:ascii="Calibri" w:hAnsi="Calibri"/>
                <w:b/>
                <w:i w:val="0"/>
                <w:color w:val="2C3338"/>
                <w:sz w:val="16"/>
              </w:rPr>
              <w:t>Access control and logging</w:t>
            </w:r>
          </w:p>
        </w:tc>
        <w:tc>
          <w:tcPr>
            <w:tcW w:type="dxa" w:w="3592"/>
            <w:tcMar>
              <w:top w:w="80" w:type="dxa"/>
              <w:start w:w="85" w:type="dxa"/>
              <w:bottom w:w="80" w:type="dxa"/>
              <w:end w:w="85" w:type="dxa"/>
            </w:tcMar>
          </w:tcPr>
          <w:p>
            <w:pPr>
              <w:spacing w:before="0" w:after="0" w:line="264" w:lineRule="auto"/>
            </w:pPr>
            <w:r>
              <w:rPr>
                <w:rFonts w:ascii="Calibri" w:hAnsi="Calibri"/>
                <w:b w:val="0"/>
                <w:i w:val="0"/>
                <w:color w:val="4B4F58"/>
                <w:sz w:val="16"/>
              </w:rPr>
              <w:t>Role-based access, named accounts and login auditing, with access logs retained for review. Note the roadmap position in the closing section of this pack.</w:t>
            </w:r>
          </w:p>
        </w:tc>
        <w:tc>
          <w:tcPr>
            <w:tcW w:type="dxa" w:w="998"/>
            <w:noWrap/>
            <w:tcMar>
              <w:top w:w="80" w:type="dxa"/>
              <w:start w:w="85" w:type="dxa"/>
              <w:bottom w:w="80" w:type="dxa"/>
              <w:end w:w="85" w:type="dxa"/>
            </w:tcMar>
          </w:tcPr>
          <w:p>
            <w:pPr>
              <w:spacing w:before="0" w:after="0" w:line="264" w:lineRule="auto"/>
            </w:pPr>
            <w:r>
              <w:rPr>
                <w:rFonts w:ascii="Calibri" w:hAnsi="Calibri"/>
                <w:b w:val="0"/>
                <w:i w:val="0"/>
                <w:color w:val="4B4F58"/>
                <w:sz w:val="16"/>
              </w:rPr>
              <w:t>R4</w:t>
            </w:r>
          </w:p>
        </w:tc>
        <w:tc>
          <w:tcPr>
            <w:tcW w:type="dxa" w:w="2993"/>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p>
      <w:pPr>
        <w:keepNext/>
        <w:spacing w:before="180" w:after="60" w:line="264" w:lineRule="auto"/>
      </w:pPr>
      <w:r>
        <w:rPr>
          <w:rFonts w:ascii="Calibri" w:hAnsi="Calibri"/>
          <w:b/>
          <w:i w:val="0"/>
          <w:color w:val="03273F"/>
          <w:sz w:val="24"/>
        </w:rPr>
        <w:t>6.2 Organisational measures</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2395"/>
        <w:gridCol w:w="4590"/>
        <w:gridCol w:w="2993"/>
      </w:tblGrid>
      <w:tr>
        <w:trPr>
          <w:tblHeader w:val="true"/>
        </w:trPr>
        <w:tc>
          <w:tcPr>
            <w:tcW w:type="dxa" w:w="2395"/>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Measure</w:t>
            </w:r>
          </w:p>
        </w:tc>
        <w:tc>
          <w:tcPr>
            <w:tcW w:type="dxa" w:w="4590"/>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Requirement</w:t>
            </w:r>
          </w:p>
        </w:tc>
        <w:tc>
          <w:tcPr>
            <w:tcW w:type="dxa" w:w="29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Owner, date and evidence</w:t>
            </w:r>
          </w:p>
        </w:tc>
      </w:tr>
      <w:tr>
        <w:tc>
          <w:tcPr>
            <w:tcW w:type="dxa" w:w="2395"/>
            <w:tcMar>
              <w:top w:w="80" w:type="dxa"/>
              <w:start w:w="85" w:type="dxa"/>
              <w:bottom w:w="80" w:type="dxa"/>
              <w:end w:w="85" w:type="dxa"/>
            </w:tcMar>
          </w:tcPr>
          <w:p>
            <w:pPr>
              <w:spacing w:before="0" w:after="0" w:line="264" w:lineRule="auto"/>
            </w:pPr>
            <w:r>
              <w:rPr>
                <w:rFonts w:ascii="Calibri" w:hAnsi="Calibri"/>
                <w:b/>
                <w:i w:val="0"/>
                <w:color w:val="2C3338"/>
                <w:sz w:val="16"/>
              </w:rPr>
              <w:t>Processor contract</w:t>
            </w:r>
          </w:p>
        </w:tc>
        <w:tc>
          <w:tcPr>
            <w:tcW w:type="dxa" w:w="4590"/>
            <w:tcMar>
              <w:top w:w="80" w:type="dxa"/>
              <w:start w:w="85" w:type="dxa"/>
              <w:bottom w:w="80" w:type="dxa"/>
              <w:end w:w="85" w:type="dxa"/>
            </w:tcMar>
          </w:tcPr>
          <w:p>
            <w:pPr>
              <w:spacing w:before="0" w:after="0" w:line="264" w:lineRule="auto"/>
            </w:pPr>
            <w:r>
              <w:rPr>
                <w:rFonts w:ascii="Calibri" w:hAnsi="Calibri"/>
                <w:b w:val="0"/>
                <w:i w:val="0"/>
                <w:color w:val="4B4F58"/>
                <w:sz w:val="16"/>
              </w:rPr>
              <w:t>Article 28 terms in place, including processing only on documented instructions, confidentiality, security, sub-processor controls, assistance with rights and DPIAs, and deletion or return at the end of the contract.</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Sub-processor register</w:t>
            </w:r>
          </w:p>
        </w:tc>
        <w:tc>
          <w:tcPr>
            <w:tcW w:type="dxa" w:w="4590"/>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Maintained list of sub-processors with function, hosting location and notice arrangements for change.</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tcMar>
              <w:top w:w="80" w:type="dxa"/>
              <w:start w:w="85" w:type="dxa"/>
              <w:bottom w:w="80" w:type="dxa"/>
              <w:end w:w="85" w:type="dxa"/>
            </w:tcMar>
          </w:tcPr>
          <w:p>
            <w:pPr>
              <w:spacing w:before="0" w:after="0" w:line="264" w:lineRule="auto"/>
            </w:pPr>
            <w:r>
              <w:rPr>
                <w:rFonts w:ascii="Calibri" w:hAnsi="Calibri"/>
                <w:b/>
                <w:i w:val="0"/>
                <w:color w:val="2C3338"/>
                <w:sz w:val="16"/>
              </w:rPr>
              <w:t>Permitted-use list and change gate</w:t>
            </w:r>
          </w:p>
        </w:tc>
        <w:tc>
          <w:tcPr>
            <w:tcW w:type="dxa" w:w="4590"/>
            <w:tcMar>
              <w:top w:w="80" w:type="dxa"/>
              <w:start w:w="85" w:type="dxa"/>
              <w:bottom w:w="80" w:type="dxa"/>
              <w:end w:w="85" w:type="dxa"/>
            </w:tcMar>
          </w:tcPr>
          <w:p>
            <w:pPr>
              <w:spacing w:before="0" w:after="0" w:line="264" w:lineRule="auto"/>
            </w:pPr>
            <w:r>
              <w:rPr>
                <w:rFonts w:ascii="Calibri" w:hAnsi="Calibri"/>
                <w:b w:val="0"/>
                <w:i w:val="0"/>
                <w:color w:val="4B4F58"/>
                <w:sz w:val="16"/>
              </w:rPr>
              <w:t>Written approved uses; DPO review before any new analytics, linkage, recipient or retention change.</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Incident response and breach notification</w:t>
            </w:r>
          </w:p>
        </w:tc>
        <w:tc>
          <w:tcPr>
            <w:tcW w:type="dxa" w:w="4590"/>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Defined detection, triage and escalation route. Processor notifies the controller without undue delay; the controller assesses whether the incident must be reported to the ICO within 72 hours of becoming aware, and whether affected individuals must be told.</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tcMar>
              <w:top w:w="80" w:type="dxa"/>
              <w:start w:w="85" w:type="dxa"/>
              <w:bottom w:w="80" w:type="dxa"/>
              <w:end w:w="85" w:type="dxa"/>
            </w:tcMar>
          </w:tcPr>
          <w:p>
            <w:pPr>
              <w:spacing w:before="0" w:after="0" w:line="264" w:lineRule="auto"/>
            </w:pPr>
            <w:r>
              <w:rPr>
                <w:rFonts w:ascii="Calibri" w:hAnsi="Calibri"/>
                <w:b/>
                <w:i w:val="0"/>
                <w:color w:val="2C3338"/>
                <w:sz w:val="16"/>
              </w:rPr>
              <w:t>Rights and DSAR handling</w:t>
            </w:r>
          </w:p>
        </w:tc>
        <w:tc>
          <w:tcPr>
            <w:tcW w:type="dxa" w:w="4590"/>
            <w:tcMar>
              <w:top w:w="80" w:type="dxa"/>
              <w:start w:w="85" w:type="dxa"/>
              <w:bottom w:w="80" w:type="dxa"/>
              <w:end w:w="85" w:type="dxa"/>
            </w:tcMar>
          </w:tcPr>
          <w:p>
            <w:pPr>
              <w:spacing w:before="0" w:after="0" w:line="264" w:lineRule="auto"/>
            </w:pPr>
            <w:r>
              <w:rPr>
                <w:rFonts w:ascii="Calibri" w:hAnsi="Calibri"/>
                <w:b w:val="0"/>
                <w:i w:val="0"/>
                <w:color w:val="4B4F58"/>
                <w:sz w:val="16"/>
              </w:rPr>
              <w:t>Documented procedure with a defined supplier assistance time, including the position where no identifier is held: explain what is and is not held, search the data classes that could relate to the requester (welfare events, CCTV, staff accounts), and record the search performed rather than issuing a bare denial.</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Training and briefing</w:t>
            </w:r>
          </w:p>
        </w:tc>
        <w:tc>
          <w:tcPr>
            <w:tcW w:type="dxa" w:w="4590"/>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Role-appropriate training for dashboard users, control-room staff and drivers, covering permitted use, proportionate response to welfare events and reporting of suspected incidents.</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tcMar>
              <w:top w:w="80" w:type="dxa"/>
              <w:start w:w="85" w:type="dxa"/>
              <w:bottom w:w="80" w:type="dxa"/>
              <w:end w:w="85" w:type="dxa"/>
            </w:tcMar>
          </w:tcPr>
          <w:p>
            <w:pPr>
              <w:spacing w:before="0" w:after="0" w:line="264" w:lineRule="auto"/>
            </w:pPr>
            <w:r>
              <w:rPr>
                <w:rFonts w:ascii="Calibri" w:hAnsi="Calibri"/>
                <w:b/>
                <w:i w:val="0"/>
                <w:color w:val="2C3338"/>
                <w:sz w:val="16"/>
              </w:rPr>
              <w:t>Security assurance</w:t>
            </w:r>
          </w:p>
        </w:tc>
        <w:tc>
          <w:tcPr>
            <w:tcW w:type="dxa" w:w="4590"/>
            <w:tcMar>
              <w:top w:w="80" w:type="dxa"/>
              <w:start w:w="85" w:type="dxa"/>
              <w:bottom w:w="80" w:type="dxa"/>
              <w:end w:w="85" w:type="dxa"/>
            </w:tcMar>
          </w:tcPr>
          <w:p>
            <w:pPr>
              <w:spacing w:before="0" w:after="0" w:line="264" w:lineRule="auto"/>
            </w:pPr>
            <w:r>
              <w:rPr>
                <w:rFonts w:ascii="Calibri" w:hAnsi="Calibri"/>
                <w:b w:val="0"/>
                <w:i w:val="0"/>
                <w:color w:val="4B4F58"/>
                <w:sz w:val="16"/>
              </w:rPr>
              <w:t xml:space="preserve">Proportionate assurance requested from the supplier — security questionnaire, architecture and data-flow, vulnerability and patch process, access logging, backup and business continuity. Certification such as </w:t>
            </w:r>
            <w:hyperlink r:id="rId22">
              <w:r>
                <w:rPr>
                  <w:rFonts w:ascii="Calibri" w:hAnsi="Calibri"/>
                  <w:color w:val="19455E"/>
                  <w:u w:val="single"/>
                  <w:sz w:val="16"/>
                </w:rPr>
                <w:t xml:space="preserve">Cyber Essentials</w:t>
              </w:r>
            </w:hyperlink>
            <w:r>
              <w:rPr>
                <w:rFonts w:ascii="Calibri" w:hAnsi="Calibri"/>
                <w:b w:val="0"/>
                <w:i w:val="0"/>
                <w:color w:val="4B4F58"/>
                <w:sz w:val="16"/>
              </w:rPr>
              <w:t xml:space="preserve"> or an </w:t>
            </w:r>
            <w:hyperlink r:id="rId23">
              <w:r>
                <w:rPr>
                  <w:rFonts w:ascii="Calibri" w:hAnsi="Calibri"/>
                  <w:color w:val="19455E"/>
                  <w:u w:val="single"/>
                  <w:sz w:val="16"/>
                </w:rPr>
                <w:t xml:space="preserve">certificated information security management system</w:t>
              </w:r>
            </w:hyperlink>
            <w:r>
              <w:rPr>
                <w:rFonts w:ascii="Calibri" w:hAnsi="Calibri"/>
                <w:b w:val="0"/>
                <w:i w:val="0"/>
                <w:color w:val="4B4F58"/>
                <w:sz w:val="16"/>
              </w:rPr>
              <w:t xml:space="preserve"> may be required where proportionate, but only against a current certificate in the supplier entity’s name and with a stated scope.</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Accessibility and equality review</w:t>
            </w:r>
          </w:p>
        </w:tc>
        <w:tc>
          <w:tcPr>
            <w:tcW w:type="dxa" w:w="4590"/>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Installation survey confirming sensors, brackets and cabling do not obstruct wheelchair or priority space, gangways, handrails or boarding equipment; equality impact review where behavioural analytics are enabled.</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395"/>
            <w:tcMar>
              <w:top w:w="80" w:type="dxa"/>
              <w:start w:w="85" w:type="dxa"/>
              <w:bottom w:w="80" w:type="dxa"/>
              <w:end w:w="85" w:type="dxa"/>
            </w:tcMar>
          </w:tcPr>
          <w:p>
            <w:pPr>
              <w:spacing w:before="0" w:after="0" w:line="264" w:lineRule="auto"/>
            </w:pPr>
            <w:r>
              <w:rPr>
                <w:rFonts w:ascii="Calibri" w:hAnsi="Calibri"/>
                <w:b/>
                <w:i w:val="0"/>
                <w:color w:val="2C3338"/>
                <w:sz w:val="16"/>
              </w:rPr>
              <w:t>Periodic audit</w:t>
            </w:r>
          </w:p>
        </w:tc>
        <w:tc>
          <w:tcPr>
            <w:tcW w:type="dxa" w:w="4590"/>
            <w:tcMar>
              <w:top w:w="80" w:type="dxa"/>
              <w:start w:w="85" w:type="dxa"/>
              <w:bottom w:w="80" w:type="dxa"/>
              <w:end w:w="85" w:type="dxa"/>
            </w:tcMar>
          </w:tcPr>
          <w:p>
            <w:pPr>
              <w:spacing w:before="0" w:after="0" w:line="264" w:lineRule="auto"/>
            </w:pPr>
            <w:r>
              <w:rPr>
                <w:rFonts w:ascii="Calibri" w:hAnsi="Calibri"/>
                <w:b w:val="0"/>
                <w:i w:val="0"/>
                <w:color w:val="4B4F58"/>
                <w:sz w:val="16"/>
              </w:rPr>
              <w:t>Scheduled review of access lists, retention compliance, sub-processors, accuracy validation and welfare false-alarm rate.</w:t>
            </w:r>
          </w:p>
        </w:tc>
        <w:tc>
          <w:tcPr>
            <w:tcW w:type="dxa" w:w="2993"/>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tbl>
      <w:tblPr>
        <w:tblW w:type="auto" w:w="0"/>
        <w:jc w:val="left"/>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9978"/>
      </w:tblGrid>
      <w:tr>
        <w:trPr>
          <w:cantSplit/>
        </w:trPr>
        <w:tc>
          <w:tcPr>
            <w:tcW w:type="dxa" w:w="9978"/>
            <w:shd w:val="clear" w:color="auto" w:fill="03273F"/>
            <w:tcMar>
              <w:top w:w="150" w:type="dxa"/>
              <w:start w:w="170" w:type="dxa"/>
              <w:bottom w:w="150" w:type="dxa"/>
              <w:end w:w="170" w:type="dxa"/>
            </w:tcMar>
          </w:tcPr>
          <w:p>
            <w:pPr>
              <w:keepNext/>
              <w:spacing w:before="0" w:after="0" w:line="264" w:lineRule="auto"/>
            </w:pPr>
            <w:r>
              <w:rPr>
                <w:rFonts w:ascii="Calibri" w:hAnsi="Calibri"/>
                <w:b/>
                <w:color w:val="FFFFFF"/>
                <w:sz w:val="30"/>
              </w:rPr>
              <w:t>Step 7 — Transparency</w:t>
            </w:r>
          </w:p>
        </w:tc>
      </w:tr>
    </w:tbl>
    <w:p>
      <w:pPr>
        <w:keepNext/>
        <w:spacing w:before="0" w:after="60" w:line="240" w:lineRule="auto"/>
      </w:pPr>
    </w:p>
    <w:p>
      <w:pPr>
        <w:spacing w:before="0" w:after="100" w:line="283" w:lineRule="auto"/>
      </w:pPr>
      <w:r>
        <w:rPr>
          <w:rFonts w:ascii="Calibri" w:hAnsi="Calibri"/>
          <w:b w:val="0"/>
          <w:i w:val="0"/>
          <w:color w:val="4B4F58"/>
          <w:sz w:val="19"/>
        </w:rPr>
        <w:t>The wording below is a model an operator can adapt. Keep it short and in plain English, put it where people will actually see it, and make sure it describes what the system really does. A notice that overstates or understates the processing is worse than no notice, because it misleads.</w:t>
      </w:r>
    </w:p>
    <w:p>
      <w:pPr>
        <w:keepNext/>
        <w:spacing w:before="180" w:after="60" w:line="264" w:lineRule="auto"/>
      </w:pPr>
      <w:r>
        <w:rPr>
          <w:rFonts w:ascii="Calibri" w:hAnsi="Calibri"/>
          <w:b/>
          <w:i w:val="0"/>
          <w:color w:val="03273F"/>
          <w:sz w:val="24"/>
        </w:rPr>
        <w:t>7.1 On-vehicle notice — anonymous counting only</w:t>
      </w:r>
    </w:p>
    <w:tbl>
      <w:tblPr>
        <w:tblW w:type="auto" w:w="0"/>
        <w:tblBorders>
          <w:top w:val="single" w:sz="6" w:space="0" w:color="DCE3EA"/>
          <w:left w:val="single" w:sz="6" w:space="0" w:color="DCE3EA"/>
          <w:bottom w:val="single" w:sz="6" w:space="0" w:color="DCE3EA"/>
          <w:right w:val="single" w:sz="6" w:space="0" w:color="DCE3EA"/>
        </w:tblBorders>
        <w:tblLayout w:type="fixed"/>
        <w:tblLook w:firstColumn="1" w:firstRow="1" w:lastColumn="0" w:lastRow="0" w:noHBand="0" w:noVBand="1" w:val="04A0"/>
      </w:tblPr>
      <w:tblGrid>
        <w:gridCol w:w="9978"/>
      </w:tblGrid>
      <w:tr>
        <w:tc>
          <w:tcPr>
            <w:tcW w:type="dxa" w:w="9978"/>
            <w:shd w:val="clear" w:color="auto" w:fill="F4F7FA"/>
            <w:tcMar>
              <w:top w:w="130" w:type="dxa"/>
              <w:start w:w="160" w:type="dxa"/>
              <w:bottom w:w="130" w:type="dxa"/>
              <w:end w:w="160" w:type="dxa"/>
            </w:tcMar>
          </w:tcPr>
          <w:p>
            <w:pPr>
              <w:spacing w:before="0" w:after="60" w:line="264" w:lineRule="auto"/>
            </w:pPr>
            <w:r>
              <w:rPr>
                <w:rFonts w:ascii="Calibri" w:hAnsi="Calibri"/>
                <w:b/>
                <w:i w:val="0"/>
                <w:color w:val="03273F"/>
                <w:sz w:val="20"/>
              </w:rPr>
              <w:t>Model notice text (adapt the bracketed items)</w:t>
            </w:r>
          </w:p>
          <w:p>
            <w:pPr>
              <w:spacing w:before="0" w:after="60" w:line="283" w:lineRule="auto"/>
            </w:pPr>
            <w:r>
              <w:rPr>
                <w:rFonts w:ascii="Calibri" w:hAnsi="Calibri"/>
                <w:b w:val="0"/>
                <w:i w:val="0"/>
                <w:color w:val="2C3338"/>
                <w:sz w:val="18"/>
              </w:rPr>
              <w:t>PASSENGER COUNTING IN USE</w:t>
            </w:r>
          </w:p>
          <w:p>
            <w:pPr>
              <w:spacing w:before="0" w:after="60" w:line="283" w:lineRule="auto"/>
            </w:pPr>
            <w:r>
              <w:rPr>
                <w:rFonts w:ascii="Calibri" w:hAnsi="Calibri"/>
                <w:b w:val="0"/>
                <w:i w:val="0"/>
                <w:color w:val="2C3338"/>
                <w:sz w:val="18"/>
              </w:rPr>
              <w:t>Sensors above the doors count how many people get on and off. They do not take photographs or video, do not record faces, and do not identify you or your phone. We use the counts to plan services and manage capacity.</w:t>
            </w:r>
          </w:p>
          <w:p>
            <w:pPr>
              <w:spacing w:before="0" w:after="60" w:line="283" w:lineRule="auto"/>
            </w:pPr>
            <w:r>
              <w:rPr>
                <w:rFonts w:ascii="Calibri" w:hAnsi="Calibri"/>
                <w:b w:val="0"/>
                <w:i w:val="0"/>
                <w:color w:val="2C3338"/>
                <w:sz w:val="18"/>
              </w:rPr>
              <w:t>More information: [operator website address]. Questions: [contact address].</w:t>
            </w:r>
          </w:p>
        </w:tc>
      </w:tr>
    </w:tbl>
    <w:p>
      <w:pPr>
        <w:spacing w:before="0" w:after="80" w:line="240" w:lineRule="auto"/>
      </w:pPr>
    </w:p>
    <w:p>
      <w:pPr>
        <w:keepNext/>
        <w:spacing w:before="180" w:after="60" w:line="264" w:lineRule="auto"/>
      </w:pPr>
      <w:r>
        <w:rPr>
          <w:rFonts w:ascii="Calibri" w:hAnsi="Calibri"/>
          <w:b/>
          <w:i w:val="0"/>
          <w:color w:val="03273F"/>
          <w:sz w:val="24"/>
        </w:rPr>
        <w:t>7.2 On-vehicle notice — welfare analytics or CCTV in scope</w:t>
      </w:r>
    </w:p>
    <w:tbl>
      <w:tblPr>
        <w:tblW w:type="auto" w:w="0"/>
        <w:tblBorders>
          <w:top w:val="single" w:sz="6" w:space="0" w:color="DCE3EA"/>
          <w:left w:val="single" w:sz="6" w:space="0" w:color="DCE3EA"/>
          <w:bottom w:val="single" w:sz="6" w:space="0" w:color="DCE3EA"/>
          <w:right w:val="single" w:sz="6" w:space="0" w:color="DCE3EA"/>
        </w:tblBorders>
        <w:tblLayout w:type="fixed"/>
        <w:tblLook w:firstColumn="1" w:firstRow="1" w:lastColumn="0" w:lastRow="0" w:noHBand="0" w:noVBand="1" w:val="04A0"/>
      </w:tblPr>
      <w:tblGrid>
        <w:gridCol w:w="9978"/>
      </w:tblGrid>
      <w:tr>
        <w:tc>
          <w:tcPr>
            <w:tcW w:type="dxa" w:w="9978"/>
            <w:shd w:val="clear" w:color="auto" w:fill="F4F7FA"/>
            <w:tcMar>
              <w:top w:w="130" w:type="dxa"/>
              <w:start w:w="160" w:type="dxa"/>
              <w:bottom w:w="130" w:type="dxa"/>
              <w:end w:w="160" w:type="dxa"/>
            </w:tcMar>
          </w:tcPr>
          <w:p>
            <w:pPr>
              <w:spacing w:before="0" w:after="60" w:line="264" w:lineRule="auto"/>
            </w:pPr>
            <w:r>
              <w:rPr>
                <w:rFonts w:ascii="Calibri" w:hAnsi="Calibri"/>
                <w:b/>
                <w:i w:val="0"/>
                <w:color w:val="03273F"/>
                <w:sz w:val="20"/>
              </w:rPr>
              <w:t>Model notice text (adapt the bracketed items)</w:t>
            </w:r>
          </w:p>
          <w:p>
            <w:pPr>
              <w:spacing w:before="0" w:after="60" w:line="283" w:lineRule="auto"/>
            </w:pPr>
            <w:r>
              <w:rPr>
                <w:rFonts w:ascii="Calibri" w:hAnsi="Calibri"/>
                <w:b w:val="0"/>
                <w:i w:val="0"/>
                <w:color w:val="2C3338"/>
                <w:sz w:val="18"/>
              </w:rPr>
              <w:t>CCTV AND SAFETY MONITORING IN USE</w:t>
            </w:r>
          </w:p>
          <w:p>
            <w:pPr>
              <w:spacing w:before="0" w:after="60" w:line="283" w:lineRule="auto"/>
            </w:pPr>
            <w:r>
              <w:rPr>
                <w:rFonts w:ascii="Calibri" w:hAnsi="Calibri"/>
                <w:b w:val="0"/>
                <w:i w:val="0"/>
                <w:color w:val="2C3338"/>
                <w:sz w:val="18"/>
              </w:rPr>
              <w:t>[Operator name] operates cameras on this vehicle for the safety of passengers and staff, and sensors that count how many people get on and off.</w:t>
            </w:r>
          </w:p>
          <w:p>
            <w:pPr>
              <w:spacing w:before="0" w:after="60" w:line="283" w:lineRule="auto"/>
            </w:pPr>
            <w:r>
              <w:rPr>
                <w:rFonts w:ascii="Calibri" w:hAnsi="Calibri"/>
                <w:b w:val="0"/>
                <w:i w:val="0"/>
                <w:color w:val="2C3338"/>
                <w:sz w:val="18"/>
              </w:rPr>
              <w:t>The cameras [record images / analyse events on board] and can raise an alert to our control room about [describe: for example a fall, aggression or a raised-voice event]. An alert is reviewed by a person before any action is taken.</w:t>
            </w:r>
          </w:p>
          <w:p>
            <w:pPr>
              <w:spacing w:before="0" w:after="60" w:line="283" w:lineRule="auto"/>
            </w:pPr>
            <w:r>
              <w:rPr>
                <w:rFonts w:ascii="Calibri" w:hAnsi="Calibri"/>
                <w:b w:val="0"/>
                <w:i w:val="0"/>
                <w:color w:val="2C3338"/>
                <w:sz w:val="18"/>
              </w:rPr>
              <w:t>Footage and alert records are kept for [period] and are only seen by authorised staff, or shared where the law requires it.</w:t>
            </w:r>
          </w:p>
          <w:p>
            <w:pPr>
              <w:spacing w:before="0" w:after="60" w:line="283" w:lineRule="auto"/>
            </w:pPr>
            <w:r>
              <w:rPr>
                <w:rFonts w:ascii="Calibri" w:hAnsi="Calibri"/>
                <w:b w:val="0"/>
                <w:i w:val="0"/>
                <w:color w:val="2C3338"/>
                <w:sz w:val="18"/>
              </w:rPr>
              <w:t>Full privacy notice: [web address]. Data protection contact: [address]. You have rights over your personal data, including the right to ask for a copy.</w:t>
            </w:r>
          </w:p>
        </w:tc>
      </w:tr>
    </w:tbl>
    <w:p>
      <w:pPr>
        <w:spacing w:before="0" w:after="80" w:line="240" w:lineRule="auto"/>
      </w:pPr>
    </w:p>
    <w:p>
      <w:pPr>
        <w:spacing w:before="0" w:after="100" w:line="283" w:lineRule="auto"/>
      </w:pPr>
      <w:r>
        <w:rPr>
          <w:rFonts w:ascii="Calibri" w:hAnsi="Calibri"/>
          <w:b w:val="0"/>
          <w:i w:val="0"/>
          <w:color w:val="4B4F58"/>
          <w:sz w:val="19"/>
        </w:rPr>
        <w:t>Signage should be legible from the boarding position, placed at each door where counting occurs and near cameras where imagery is captured. ICO video surveillance guidance sets out expectations for signage, transparency and access controls where imagery is processed (</w:t>
      </w:r>
      <w:hyperlink r:id="rId24">
        <w:r>
          <w:rPr>
            <w:rFonts w:ascii="Calibri" w:hAnsi="Calibri"/>
            <w:color w:val="19455E"/>
            <w:u w:val="single"/>
            <w:sz w:val="19"/>
          </w:rPr>
          <w:t xml:space="preserve">ICO CCTV and video surveillance guidance</w:t>
        </w:r>
      </w:hyperlink>
      <w:r>
        <w:rPr>
          <w:rFonts w:ascii="Calibri" w:hAnsi="Calibri"/>
          <w:b w:val="0"/>
          <w:i w:val="0"/>
          <w:color w:val="4B4F58"/>
          <w:sz w:val="19"/>
        </w:rPr>
        <w:t>). The 2021 Surveillance Camera Code of Practice is also relevant context, particularly for local authorities (</w:t>
      </w:r>
      <w:hyperlink r:id="rId25">
        <w:r>
          <w:rPr>
            <w:rFonts w:ascii="Calibri" w:hAnsi="Calibri"/>
            <w:color w:val="19455E"/>
            <w:u w:val="single"/>
            <w:sz w:val="19"/>
          </w:rPr>
          <w:t xml:space="preserve">Home Office update to the Surveillance Camera Code</w:t>
        </w:r>
      </w:hyperlink>
      <w:r>
        <w:rPr>
          <w:rFonts w:ascii="Calibri" w:hAnsi="Calibri"/>
          <w:b w:val="0"/>
          <w:i w:val="0"/>
          <w:color w:val="4B4F58"/>
          <w:sz w:val="19"/>
        </w:rPr>
        <w:t>).</w:t>
      </w:r>
    </w:p>
    <w:p>
      <w:pPr>
        <w:keepNext/>
        <w:spacing w:before="180" w:after="60" w:line="264" w:lineRule="auto"/>
      </w:pPr>
      <w:r>
        <w:rPr>
          <w:rFonts w:ascii="Calibri" w:hAnsi="Calibri"/>
          <w:b/>
          <w:i w:val="0"/>
          <w:color w:val="03273F"/>
          <w:sz w:val="24"/>
        </w:rPr>
        <w:t>7.3 Privacy notice section — model wording</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2195"/>
        <w:gridCol w:w="7783"/>
      </w:tblGrid>
      <w:tr>
        <w:trPr>
          <w:tblHeader w:val="true"/>
        </w:trPr>
        <w:tc>
          <w:tcPr>
            <w:tcW w:type="dxa" w:w="2195"/>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Heading</w:t>
            </w:r>
          </w:p>
        </w:tc>
        <w:tc>
          <w:tcPr>
            <w:tcW w:type="dxa" w:w="778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Model wording to adapt</w:t>
            </w:r>
          </w:p>
        </w:tc>
      </w:tr>
      <w:tr>
        <w:tc>
          <w:tcPr>
            <w:tcW w:type="dxa" w:w="2195"/>
            <w:tcMar>
              <w:top w:w="80" w:type="dxa"/>
              <w:start w:w="85" w:type="dxa"/>
              <w:bottom w:w="80" w:type="dxa"/>
              <w:end w:w="85" w:type="dxa"/>
            </w:tcMar>
          </w:tcPr>
          <w:p>
            <w:pPr>
              <w:spacing w:before="0" w:after="0" w:line="264" w:lineRule="auto"/>
            </w:pPr>
            <w:r>
              <w:rPr>
                <w:rFonts w:ascii="Calibri" w:hAnsi="Calibri"/>
                <w:b/>
                <w:i w:val="0"/>
                <w:color w:val="2C3338"/>
                <w:sz w:val="16"/>
              </w:rPr>
              <w:t>What we collect</w:t>
            </w:r>
          </w:p>
        </w:tc>
        <w:tc>
          <w:tcPr>
            <w:tcW w:type="dxa" w:w="7783"/>
            <w:tcMar>
              <w:top w:w="80" w:type="dxa"/>
              <w:start w:w="85" w:type="dxa"/>
              <w:bottom w:w="80" w:type="dxa"/>
              <w:end w:w="85" w:type="dxa"/>
            </w:tcMar>
          </w:tcPr>
          <w:p>
            <w:pPr>
              <w:spacing w:before="0" w:after="0" w:line="264" w:lineRule="auto"/>
            </w:pPr>
            <w:r>
              <w:rPr>
                <w:rFonts w:ascii="Calibri" w:hAnsi="Calibri"/>
                <w:b w:val="0"/>
                <w:i w:val="0"/>
                <w:color w:val="4B4F58"/>
                <w:sz w:val="16"/>
              </w:rPr>
              <w:t>Counts of passengers boarding and alighting at each stop, the vehicle and route, the time, and the vehicle’s location. [Where welfare sensing is enabled: records of safety events detected on board, including the type of event, its severity, where on the vehicle it occurred and whether staff acknowledged it.]</w:t>
            </w:r>
          </w:p>
        </w:tc>
      </w:tr>
      <w:tr>
        <w:tc>
          <w:tcPr>
            <w:tcW w:type="dxa" w:w="21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What we do not collect</w:t>
            </w:r>
          </w:p>
        </w:tc>
        <w:tc>
          <w:tcPr>
            <w:tcW w:type="dxa" w:w="7783"/>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In our passenger counting system, no images, face templates or phone identifiers leave the vehicle. [Delete or amend if CCTV or camera analytics are in use, and describe those separately.]</w:t>
            </w:r>
          </w:p>
        </w:tc>
      </w:tr>
      <w:tr>
        <w:tc>
          <w:tcPr>
            <w:tcW w:type="dxa" w:w="2195"/>
            <w:tcMar>
              <w:top w:w="80" w:type="dxa"/>
              <w:start w:w="85" w:type="dxa"/>
              <w:bottom w:w="80" w:type="dxa"/>
              <w:end w:w="85" w:type="dxa"/>
            </w:tcMar>
          </w:tcPr>
          <w:p>
            <w:pPr>
              <w:spacing w:before="0" w:after="0" w:line="264" w:lineRule="auto"/>
            </w:pPr>
            <w:r>
              <w:rPr>
                <w:rFonts w:ascii="Calibri" w:hAnsi="Calibri"/>
                <w:b/>
                <w:i w:val="0"/>
                <w:color w:val="2C3338"/>
                <w:sz w:val="16"/>
              </w:rPr>
              <w:t>Why we collect it</w:t>
            </w:r>
          </w:p>
        </w:tc>
        <w:tc>
          <w:tcPr>
            <w:tcW w:type="dxa" w:w="7783"/>
            <w:tcMar>
              <w:top w:w="80" w:type="dxa"/>
              <w:start w:w="85" w:type="dxa"/>
              <w:bottom w:w="80" w:type="dxa"/>
              <w:end w:w="85" w:type="dxa"/>
            </w:tcMar>
          </w:tcPr>
          <w:p>
            <w:pPr>
              <w:spacing w:before="0" w:after="0" w:line="264" w:lineRule="auto"/>
            </w:pPr>
            <w:r>
              <w:rPr>
                <w:rFonts w:ascii="Calibri" w:hAnsi="Calibri"/>
                <w:b w:val="0"/>
                <w:i w:val="0"/>
                <w:color w:val="4B4F58"/>
                <w:sz w:val="16"/>
              </w:rPr>
              <w:t>To plan and manage services, match capacity to demand, evidence patronage for funding and contracts, and [where applicable] respond to safety incidents on board.</w:t>
            </w:r>
          </w:p>
        </w:tc>
      </w:tr>
      <w:tr>
        <w:tc>
          <w:tcPr>
            <w:tcW w:type="dxa" w:w="21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Our lawful basis</w:t>
            </w:r>
          </w:p>
        </w:tc>
        <w:tc>
          <w:tcPr>
            <w:tcW w:type="dxa" w:w="7783"/>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[Public task under Article 6(1)(e) of the UK GDPR, because [function laid down in law] / Legitimate interests under Article 6(1)(f), because [interest], and we have carried out a legitimate interests assessment which you can request.]</w:t>
            </w:r>
          </w:p>
        </w:tc>
      </w:tr>
      <w:tr>
        <w:tc>
          <w:tcPr>
            <w:tcW w:type="dxa" w:w="2195"/>
            <w:tcMar>
              <w:top w:w="80" w:type="dxa"/>
              <w:start w:w="85" w:type="dxa"/>
              <w:bottom w:w="80" w:type="dxa"/>
              <w:end w:w="85" w:type="dxa"/>
            </w:tcMar>
          </w:tcPr>
          <w:p>
            <w:pPr>
              <w:spacing w:before="0" w:after="0" w:line="264" w:lineRule="auto"/>
            </w:pPr>
            <w:r>
              <w:rPr>
                <w:rFonts w:ascii="Calibri" w:hAnsi="Calibri"/>
                <w:b/>
                <w:i w:val="0"/>
                <w:color w:val="2C3338"/>
                <w:sz w:val="16"/>
              </w:rPr>
              <w:t>How long we keep it</w:t>
            </w:r>
          </w:p>
        </w:tc>
        <w:tc>
          <w:tcPr>
            <w:tcW w:type="dxa" w:w="7783"/>
            <w:tcMar>
              <w:top w:w="80" w:type="dxa"/>
              <w:start w:w="85" w:type="dxa"/>
              <w:bottom w:w="80" w:type="dxa"/>
              <w:end w:w="85" w:type="dxa"/>
            </w:tcMar>
          </w:tcPr>
          <w:p>
            <w:pPr>
              <w:spacing w:before="0" w:after="0" w:line="264" w:lineRule="auto"/>
            </w:pPr>
            <w:r>
              <w:rPr>
                <w:rFonts w:ascii="Calibri" w:hAnsi="Calibri"/>
                <w:b w:val="0"/>
                <w:i w:val="0"/>
                <w:color w:val="4B4F58"/>
                <w:sz w:val="16"/>
              </w:rPr>
              <w:t>[Data class: period] — see our retention schedule. We delete data automatically at the end of the period.</w:t>
            </w:r>
          </w:p>
        </w:tc>
      </w:tr>
      <w:tr>
        <w:tc>
          <w:tcPr>
            <w:tcW w:type="dxa" w:w="21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Who we share it with</w:t>
            </w:r>
          </w:p>
        </w:tc>
        <w:tc>
          <w:tcPr>
            <w:tcW w:type="dxa" w:w="7783"/>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[Our technology supplier acting on our instructions, its hosting and messaging providers, and [authority name] for service planning. We share with the police or other authorities only where the law allows or requires it.]</w:t>
            </w:r>
          </w:p>
        </w:tc>
      </w:tr>
      <w:tr>
        <w:tc>
          <w:tcPr>
            <w:tcW w:type="dxa" w:w="2195"/>
            <w:tcMar>
              <w:top w:w="80" w:type="dxa"/>
              <w:start w:w="85" w:type="dxa"/>
              <w:bottom w:w="80" w:type="dxa"/>
              <w:end w:w="85" w:type="dxa"/>
            </w:tcMar>
          </w:tcPr>
          <w:p>
            <w:pPr>
              <w:spacing w:before="0" w:after="0" w:line="264" w:lineRule="auto"/>
            </w:pPr>
            <w:r>
              <w:rPr>
                <w:rFonts w:ascii="Calibri" w:hAnsi="Calibri"/>
                <w:b/>
                <w:i w:val="0"/>
                <w:color w:val="2C3338"/>
                <w:sz w:val="16"/>
              </w:rPr>
              <w:t>Your rights</w:t>
            </w:r>
          </w:p>
        </w:tc>
        <w:tc>
          <w:tcPr>
            <w:tcW w:type="dxa" w:w="7783"/>
            <w:tcMar>
              <w:top w:w="80" w:type="dxa"/>
              <w:start w:w="85" w:type="dxa"/>
              <w:bottom w:w="80" w:type="dxa"/>
              <w:end w:w="85" w:type="dxa"/>
            </w:tcMar>
          </w:tcPr>
          <w:p>
            <w:pPr>
              <w:spacing w:before="0" w:after="0" w:line="264" w:lineRule="auto"/>
            </w:pPr>
            <w:r>
              <w:rPr>
                <w:rFonts w:ascii="Calibri" w:hAnsi="Calibri"/>
                <w:b w:val="0"/>
                <w:i w:val="0"/>
                <w:color w:val="4B4F58"/>
                <w:sz w:val="16"/>
              </w:rPr>
              <w:t>You have the right to ask for a copy of your personal data, to have inaccurate data corrected, to object to or restrict processing, and to complain to the Information Commissioner’s Office. Where our counting data holds nothing that identifies you, we will tell you that and explain what we searched.</w:t>
            </w:r>
          </w:p>
        </w:tc>
      </w:tr>
      <w:tr>
        <w:tc>
          <w:tcPr>
            <w:tcW w:type="dxa" w:w="2195"/>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Contact</w:t>
            </w:r>
          </w:p>
        </w:tc>
        <w:tc>
          <w:tcPr>
            <w:tcW w:type="dxa" w:w="7783"/>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[Data protection contact name, postal address and email address. DPO details where one is appointed.]</w:t>
            </w:r>
          </w:p>
        </w:tc>
      </w:tr>
    </w:tbl>
    <w:p>
      <w:pPr>
        <w:spacing w:before="0" w:after="100" w:line="240" w:lineRule="auto"/>
      </w:pPr>
    </w:p>
    <w:tbl>
      <w:tblPr>
        <w:tblW w:type="auto" w:w="0"/>
        <w:jc w:val="left"/>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9978"/>
      </w:tblGrid>
      <w:tr>
        <w:trPr>
          <w:cantSplit/>
        </w:trPr>
        <w:tc>
          <w:tcPr>
            <w:tcW w:type="dxa" w:w="9978"/>
            <w:shd w:val="clear" w:color="auto" w:fill="03273F"/>
            <w:tcMar>
              <w:top w:w="150" w:type="dxa"/>
              <w:start w:w="170" w:type="dxa"/>
              <w:bottom w:w="150" w:type="dxa"/>
              <w:end w:w="170" w:type="dxa"/>
            </w:tcMar>
          </w:tcPr>
          <w:p>
            <w:pPr>
              <w:keepNext/>
              <w:spacing w:before="0" w:after="0" w:line="264" w:lineRule="auto"/>
            </w:pPr>
            <w:r>
              <w:rPr>
                <w:rFonts w:ascii="Calibri" w:hAnsi="Calibri"/>
                <w:b/>
                <w:color w:val="FFFFFF"/>
                <w:sz w:val="30"/>
              </w:rPr>
              <w:t>Step 8 — Consultation, residual risk and sign-off</w:t>
            </w:r>
          </w:p>
        </w:tc>
      </w:tr>
    </w:tbl>
    <w:p>
      <w:pPr>
        <w:keepNext/>
        <w:spacing w:before="0" w:after="60" w:line="240" w:lineRule="auto"/>
      </w:pPr>
    </w:p>
    <w:p>
      <w:pPr>
        <w:keepNext/>
        <w:spacing w:before="180" w:after="60" w:line="264" w:lineRule="auto"/>
      </w:pPr>
      <w:r>
        <w:rPr>
          <w:rFonts w:ascii="Calibri" w:hAnsi="Calibri"/>
          <w:b/>
          <w:i w:val="0"/>
          <w:color w:val="03273F"/>
          <w:sz w:val="24"/>
        </w:rPr>
        <w:t>8.1 Consultation</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2794"/>
        <w:gridCol w:w="4191"/>
        <w:gridCol w:w="2993"/>
      </w:tblGrid>
      <w:tr>
        <w:trPr>
          <w:tblHeader w:val="true"/>
        </w:trPr>
        <w:tc>
          <w:tcPr>
            <w:tcW w:type="dxa" w:w="2794"/>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Who</w:t>
            </w:r>
          </w:p>
        </w:tc>
        <w:tc>
          <w:tcPr>
            <w:tcW w:type="dxa" w:w="4191"/>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Why</w:t>
            </w:r>
          </w:p>
        </w:tc>
        <w:tc>
          <w:tcPr>
            <w:tcW w:type="dxa" w:w="29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Consulted? Date and outcome</w:t>
            </w:r>
          </w:p>
        </w:tc>
      </w:tr>
      <w:tr>
        <w:tc>
          <w:tcPr>
            <w:tcW w:type="dxa" w:w="2794"/>
            <w:tcMar>
              <w:top w:w="80" w:type="dxa"/>
              <w:start w:w="85" w:type="dxa"/>
              <w:bottom w:w="80" w:type="dxa"/>
              <w:end w:w="85" w:type="dxa"/>
            </w:tcMar>
          </w:tcPr>
          <w:p>
            <w:pPr>
              <w:spacing w:before="0" w:after="0" w:line="264" w:lineRule="auto"/>
            </w:pPr>
            <w:r>
              <w:rPr>
                <w:rFonts w:ascii="Calibri" w:hAnsi="Calibri"/>
                <w:b/>
                <w:i w:val="0"/>
                <w:color w:val="2C3338"/>
                <w:sz w:val="16"/>
              </w:rPr>
              <w:t>Data Protection Officer</w:t>
            </w:r>
          </w:p>
        </w:tc>
        <w:tc>
          <w:tcPr>
            <w:tcW w:type="dxa" w:w="4191"/>
            <w:tcMar>
              <w:top w:w="80" w:type="dxa"/>
              <w:start w:w="85" w:type="dxa"/>
              <w:bottom w:w="80" w:type="dxa"/>
              <w:end w:w="85" w:type="dxa"/>
            </w:tcMar>
          </w:tcPr>
          <w:p>
            <w:pPr>
              <w:spacing w:before="0" w:after="0" w:line="264" w:lineRule="auto"/>
            </w:pPr>
            <w:r>
              <w:rPr>
                <w:rFonts w:ascii="Calibri" w:hAnsi="Calibri"/>
                <w:b w:val="0"/>
                <w:i w:val="0"/>
                <w:color w:val="4B4F58"/>
                <w:sz w:val="16"/>
              </w:rPr>
              <w:t>Statutory advice on the DPIA, lawful basis, retention and residual risk. Record the advice and the response to it.</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794"/>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Safety and operations leads</w:t>
            </w:r>
          </w:p>
        </w:tc>
        <w:tc>
          <w:tcPr>
            <w:tcW w:type="dxa" w:w="4191"/>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Whether the alerting workflow is deliverable and proportionate, and who will respond to events.</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794"/>
            <w:tcMar>
              <w:top w:w="80" w:type="dxa"/>
              <w:start w:w="85" w:type="dxa"/>
              <w:bottom w:w="80" w:type="dxa"/>
              <w:end w:w="85" w:type="dxa"/>
            </w:tcMar>
          </w:tcPr>
          <w:p>
            <w:pPr>
              <w:spacing w:before="0" w:after="0" w:line="264" w:lineRule="auto"/>
            </w:pPr>
            <w:r>
              <w:rPr>
                <w:rFonts w:ascii="Calibri" w:hAnsi="Calibri"/>
                <w:b/>
                <w:i w:val="0"/>
                <w:color w:val="2C3338"/>
                <w:sz w:val="16"/>
              </w:rPr>
              <w:t>Trade union or staff representatives</w:t>
            </w:r>
          </w:p>
        </w:tc>
        <w:tc>
          <w:tcPr>
            <w:tcW w:type="dxa" w:w="4191"/>
            <w:tcMar>
              <w:top w:w="80" w:type="dxa"/>
              <w:start w:w="85" w:type="dxa"/>
              <w:bottom w:w="80" w:type="dxa"/>
              <w:end w:w="85" w:type="dxa"/>
            </w:tcMar>
          </w:tcPr>
          <w:p>
            <w:pPr>
              <w:spacing w:before="0" w:after="0" w:line="264" w:lineRule="auto"/>
            </w:pPr>
            <w:r>
              <w:rPr>
                <w:rFonts w:ascii="Calibri" w:hAnsi="Calibri"/>
                <w:b w:val="0"/>
                <w:i w:val="0"/>
                <w:color w:val="4B4F58"/>
                <w:sz w:val="16"/>
              </w:rPr>
              <w:t>Required where welfare or behavioural monitoring could observe drivers or other staff. Consult before enablement, not after.</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794"/>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Passenger representatives or user groups</w:t>
            </w:r>
          </w:p>
        </w:tc>
        <w:tc>
          <w:tcPr>
            <w:tcW w:type="dxa" w:w="4191"/>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Whether the processing matches passenger expectations and whether the notice wording is understood.</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794"/>
            <w:tcMar>
              <w:top w:w="80" w:type="dxa"/>
              <w:start w:w="85" w:type="dxa"/>
              <w:bottom w:w="80" w:type="dxa"/>
              <w:end w:w="85" w:type="dxa"/>
            </w:tcMar>
          </w:tcPr>
          <w:p>
            <w:pPr>
              <w:spacing w:before="0" w:after="0" w:line="264" w:lineRule="auto"/>
            </w:pPr>
            <w:r>
              <w:rPr>
                <w:rFonts w:ascii="Calibri" w:hAnsi="Calibri"/>
                <w:b/>
                <w:i w:val="0"/>
                <w:color w:val="2C3338"/>
                <w:sz w:val="16"/>
              </w:rPr>
              <w:t>Accessibility advisers</w:t>
            </w:r>
          </w:p>
        </w:tc>
        <w:tc>
          <w:tcPr>
            <w:tcW w:type="dxa" w:w="4191"/>
            <w:tcMar>
              <w:top w:w="80" w:type="dxa"/>
              <w:start w:w="85" w:type="dxa"/>
              <w:bottom w:w="80" w:type="dxa"/>
              <w:end w:w="85" w:type="dxa"/>
            </w:tcMar>
          </w:tcPr>
          <w:p>
            <w:pPr>
              <w:spacing w:before="0" w:after="0" w:line="264" w:lineRule="auto"/>
            </w:pPr>
            <w:r>
              <w:rPr>
                <w:rFonts w:ascii="Calibri" w:hAnsi="Calibri"/>
                <w:b w:val="0"/>
                <w:i w:val="0"/>
                <w:color w:val="4B4F58"/>
                <w:sz w:val="16"/>
              </w:rPr>
              <w:t>Installation effects on wheelchair and priority space, gangways and boarding equipment; effects of behavioural analytics on disabled passengers.</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794"/>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Information security</w:t>
            </w:r>
          </w:p>
        </w:tc>
        <w:tc>
          <w:tcPr>
            <w:tcW w:type="dxa" w:w="4191"/>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Access control, credential management, broker permissions and incident response.</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794"/>
            <w:tcMar>
              <w:top w:w="80" w:type="dxa"/>
              <w:start w:w="85" w:type="dxa"/>
              <w:bottom w:w="80" w:type="dxa"/>
              <w:end w:w="85" w:type="dxa"/>
            </w:tcMar>
          </w:tcPr>
          <w:p>
            <w:pPr>
              <w:spacing w:before="0" w:after="0" w:line="264" w:lineRule="auto"/>
            </w:pPr>
            <w:r>
              <w:rPr>
                <w:rFonts w:ascii="Calibri" w:hAnsi="Calibri"/>
                <w:b/>
                <w:i w:val="0"/>
                <w:color w:val="2C3338"/>
                <w:sz w:val="16"/>
              </w:rPr>
              <w:t>Commissioning authority, where applicable</w:t>
            </w:r>
          </w:p>
        </w:tc>
        <w:tc>
          <w:tcPr>
            <w:tcW w:type="dxa" w:w="4191"/>
            <w:tcMar>
              <w:top w:w="80" w:type="dxa"/>
              <w:start w:w="85" w:type="dxa"/>
              <w:bottom w:w="80" w:type="dxa"/>
              <w:end w:w="85" w:type="dxa"/>
            </w:tcMar>
          </w:tcPr>
          <w:p>
            <w:pPr>
              <w:spacing w:before="0" w:after="0" w:line="264" w:lineRule="auto"/>
            </w:pPr>
            <w:r>
              <w:rPr>
                <w:rFonts w:ascii="Calibri" w:hAnsi="Calibri"/>
                <w:b w:val="0"/>
                <w:i w:val="0"/>
                <w:color w:val="4B4F58"/>
                <w:sz w:val="16"/>
              </w:rPr>
              <w:t>Controller roles, data sharing and reporting obligations.</w:t>
            </w:r>
          </w:p>
        </w:tc>
        <w:tc>
          <w:tcPr>
            <w:tcW w:type="dxa" w:w="2993"/>
            <w:shd w:val="clear" w:color="auto" w:fill="F2F6FA"/>
            <w:tcMar>
              <w:top w:w="80" w:type="dxa"/>
              <w:start w:w="85" w:type="dxa"/>
              <w:bottom w:w="80" w:type="dxa"/>
              <w:end w:w="85" w:type="dxa"/>
            </w:tcMar>
          </w:tcPr>
          <w:p>
            <w:pPr>
              <w:spacing w:before="0" w:after="0" w:line="264" w:lineRule="auto"/>
            </w:pPr>
          </w:p>
        </w:tc>
      </w:tr>
      <w:tr>
        <w:tc>
          <w:tcPr>
            <w:tcW w:type="dxa" w:w="2794"/>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Processors and sub-processors</w:t>
            </w:r>
          </w:p>
        </w:tc>
        <w:tc>
          <w:tcPr>
            <w:tcW w:type="dxa" w:w="4191"/>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Accuracy of the data-flow description, hosting locations, retention capability and deletion evidence.</w:t>
            </w:r>
          </w:p>
        </w:tc>
        <w:tc>
          <w:tcPr>
            <w:tcW w:type="dxa" w:w="2993"/>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p>
      <w:pPr>
        <w:keepNext/>
        <w:spacing w:before="180" w:after="60" w:line="264" w:lineRule="auto"/>
      </w:pPr>
      <w:r>
        <w:rPr>
          <w:rFonts w:ascii="Calibri" w:hAnsi="Calibri"/>
          <w:b/>
          <w:i w:val="0"/>
          <w:color w:val="03273F"/>
          <w:sz w:val="24"/>
        </w:rPr>
        <w:t>8.2 Residual risk and acceptance</w:t>
      </w:r>
    </w:p>
    <w:tbl>
      <w:tblPr>
        <w:tblW w:type="auto" w:w="0"/>
        <w:tblBorders>
          <w:top w:val="none"/>
          <w:left w:val="none"/>
          <w:bottom w:val="none"/>
          <w:right w:val="none"/>
          <w:insideH w:val="none"/>
          <w:insideV w:val="none"/>
        </w:tblBorders>
        <w:tblLayout w:type="fixed"/>
        <w:tblLook w:firstColumn="1" w:firstRow="1" w:lastColumn="0" w:lastRow="0" w:noHBand="0" w:noVBand="1" w:val="04A0"/>
      </w:tblPr>
      <w:tblGrid>
        <w:gridCol w:w="9978"/>
      </w:tblGrid>
      <w:tr>
        <w:trPr>
          <w:cantSplit/>
        </w:trPr>
        <w:tc>
          <w:tcPr>
            <w:tcW w:type="dxa" w:w="9978"/>
            <w:tcMar>
              <w:top w:w="20" w:type="dxa"/>
              <w:start w:w="20" w:type="dxa"/>
              <w:bottom w:w="20" w:type="dxa"/>
              <w:end w:w="20" w:type="dxa"/>
            </w:tcMar>
          </w:tcPr>
          <w:p>
            <w:pPr>
              <w:keepNext/>
              <w:spacing w:before="0" w:after="20" w:line="240" w:lineRule="auto"/>
            </w:pPr>
            <w:r>
              <w:rPr>
                <w:rFonts w:ascii="Calibri" w:hAnsi="Calibri"/>
                <w:b/>
                <w:i w:val="0"/>
                <w:color w:val="19455E"/>
                <w:sz w:val="16"/>
              </w:rPr>
              <w:t>Summary of residual risks after mitigation, including any scored High</w:t>
            </w:r>
          </w:p>
        </w:tc>
      </w:tr>
      <w:tr>
        <w:trPr>
          <w:cantSplit/>
        </w:trPr>
        <w:tc>
          <w:tcPr>
            <w:tcW w:type="dxa" w:w="9978"/>
            <w:tcBorders>
              <w:top w:val="single" w:sz="6" w:color="C9CFD6"/>
              <w:left w:val="single" w:sz="6" w:color="C9CFD6"/>
              <w:bottom w:val="single" w:sz="6" w:color="C9CFD6"/>
              <w:right w:val="single" w:sz="6" w:color="C9CFD6"/>
            </w:tcBorders>
            <w:shd w:val="clear" w:color="auto" w:fill="F2F6FA"/>
            <w:tcMar>
              <w:top w:w="60" w:type="dxa"/>
              <w:start w:w="90" w:type="dxa"/>
              <w:bottom w:w="60" w:type="dxa"/>
              <w:end w:w="90" w:type="dxa"/>
            </w:tcMar>
          </w:tcPr>
          <w:p>
            <w:pPr>
              <w:keepNext/>
              <w:spacing w:before="0" w:after="0" w:line="300" w:lineRule="auto"/>
            </w:pPr>
            <w:r>
              <w:rPr>
                <w:sz w:val="19"/>
              </w:rPr>
            </w:r>
          </w:p>
          <w:p>
            <w:pPr>
              <w:keepNext/>
              <w:spacing w:before="0" w:after="0" w:line="300" w:lineRule="auto"/>
            </w:pPr>
            <w:r>
              <w:rPr>
                <w:sz w:val="19"/>
              </w:rPr>
            </w:r>
          </w:p>
          <w:p>
            <w:pPr>
              <w:keepNext/>
              <w:spacing w:before="0" w:after="0" w:line="300" w:lineRule="auto"/>
            </w:pPr>
            <w:r>
              <w:rPr>
                <w:sz w:val="19"/>
              </w:rPr>
            </w:r>
          </w:p>
        </w:tc>
      </w:tr>
    </w:tbl>
    <w:tbl>
      <w:tblPr>
        <w:tblW w:type="auto" w:w="0"/>
        <w:tblBorders>
          <w:top w:val="single" w:sz="6" w:space="0" w:color="DCE3EA"/>
          <w:left w:val="single" w:sz="6" w:space="0" w:color="DCE3EA"/>
          <w:bottom w:val="single" w:sz="6" w:space="0" w:color="DCE3EA"/>
          <w:right w:val="single" w:sz="6" w:space="0" w:color="DCE3EA"/>
        </w:tblBorders>
        <w:tblLayout w:type="fixed"/>
        <w:tblLook w:firstColumn="1" w:firstRow="1" w:lastColumn="0" w:lastRow="0" w:noHBand="0" w:noVBand="1" w:val="04A0"/>
      </w:tblPr>
      <w:tblGrid>
        <w:gridCol w:w="9978"/>
      </w:tblGrid>
      <w:tr>
        <w:tc>
          <w:tcPr>
            <w:tcW w:type="dxa" w:w="9978"/>
            <w:shd w:val="clear" w:color="auto" w:fill="F4F7FA"/>
            <w:tcMar>
              <w:top w:w="130" w:type="dxa"/>
              <w:start w:w="160" w:type="dxa"/>
              <w:bottom w:w="130" w:type="dxa"/>
              <w:end w:w="160" w:type="dxa"/>
            </w:tcMar>
          </w:tcPr>
          <w:p>
            <w:pPr>
              <w:spacing w:before="0" w:after="60" w:line="264" w:lineRule="auto"/>
            </w:pPr>
            <w:r>
              <w:rPr>
                <w:rFonts w:ascii="Calibri" w:hAnsi="Calibri"/>
                <w:b/>
                <w:i w:val="0"/>
                <w:color w:val="03273F"/>
                <w:sz w:val="20"/>
              </w:rPr>
              <w:t>Residual-risk acceptance statement</w:t>
            </w:r>
          </w:p>
          <w:p>
            <w:pPr>
              <w:spacing w:before="0" w:after="60" w:line="283" w:lineRule="auto"/>
            </w:pPr>
            <w:r>
              <w:rPr>
                <w:rFonts w:ascii="Calibri" w:hAnsi="Calibri"/>
                <w:b w:val="0"/>
                <w:i w:val="0"/>
                <w:color w:val="2C3338"/>
                <w:sz w:val="18"/>
              </w:rPr>
              <w:t xml:space="preserve">I confirm that the risks identified in this assessment have been evaluated, that the measures recorded in Step 6 are in place or scheduled with named owners and dates, and that the residual risk is accepted by [controller name] for the processing described in Step 2. Where any residual risk remains High and cannot be reduced, processing will not begin until the Information Commissioner’s Office has been consulted in accordance with the prior consultation requirement in </w:t>
            </w:r>
            <w:hyperlink r:id="rId12">
              <w:r>
                <w:rPr>
                  <w:rFonts w:ascii="Calibri" w:hAnsi="Calibri"/>
                  <w:color w:val="19455E"/>
                  <w:u w:val="single"/>
                  <w:sz w:val="18"/>
                </w:rPr>
                <w:t xml:space="preserve">UK GDPR Article 35</w:t>
              </w:r>
            </w:hyperlink>
            <w:r>
              <w:rPr>
                <w:rFonts w:ascii="Calibri" w:hAnsi="Calibri"/>
                <w:b w:val="0"/>
                <w:i w:val="0"/>
                <w:color w:val="2C3338"/>
                <w:sz w:val="18"/>
              </w:rPr>
              <w:t>.</w:t>
            </w:r>
          </w:p>
        </w:tc>
      </w:tr>
    </w:tbl>
    <w:p>
      <w:pPr>
        <w:spacing w:before="0" w:after="80" w:line="240" w:lineRule="auto"/>
      </w:pP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3393"/>
        <w:gridCol w:w="1596"/>
        <w:gridCol w:w="4989"/>
      </w:tblGrid>
      <w:tr>
        <w:trPr>
          <w:tblHeader w:val="true"/>
        </w:trPr>
        <w:tc>
          <w:tcPr>
            <w:tcW w:type="dxa" w:w="33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Question</w:t>
            </w:r>
          </w:p>
        </w:tc>
        <w:tc>
          <w:tcPr>
            <w:tcW w:type="dxa" w:w="1596"/>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Yes/No</w:t>
            </w:r>
          </w:p>
        </w:tc>
        <w:tc>
          <w:tcPr>
            <w:tcW w:type="dxa" w:w="4989"/>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Reasoning and next step</w:t>
            </w:r>
          </w:p>
        </w:tc>
      </w:tr>
      <w:tr>
        <w:tc>
          <w:tcPr>
            <w:tcW w:type="dxa" w:w="3393"/>
            <w:tcMar>
              <w:top w:w="80" w:type="dxa"/>
              <w:start w:w="85" w:type="dxa"/>
              <w:bottom w:w="80" w:type="dxa"/>
              <w:end w:w="85" w:type="dxa"/>
            </w:tcMar>
          </w:tcPr>
          <w:p>
            <w:pPr>
              <w:spacing w:before="0" w:after="0" w:line="264" w:lineRule="auto"/>
            </w:pPr>
            <w:r>
              <w:rPr>
                <w:rFonts w:ascii="Calibri" w:hAnsi="Calibri"/>
                <w:b/>
                <w:i w:val="0"/>
                <w:color w:val="2C3338"/>
                <w:sz w:val="16"/>
              </w:rPr>
              <w:t>Does any residual risk remain High?</w:t>
            </w:r>
          </w:p>
        </w:tc>
        <w:tc>
          <w:tcPr>
            <w:tcW w:type="dxa" w:w="1596"/>
            <w:shd w:val="clear" w:color="auto" w:fill="F2F6FA"/>
            <w:tcMar>
              <w:top w:w="80" w:type="dxa"/>
              <w:start w:w="85" w:type="dxa"/>
              <w:bottom w:w="80" w:type="dxa"/>
              <w:end w:w="85" w:type="dxa"/>
            </w:tcMar>
          </w:tcPr>
          <w:p>
            <w:pPr>
              <w:spacing w:before="0" w:after="0" w:line="264" w:lineRule="auto"/>
            </w:pPr>
          </w:p>
        </w:tc>
        <w:tc>
          <w:tcPr>
            <w:tcW w:type="dxa" w:w="4989"/>
            <w:shd w:val="clear" w:color="auto" w:fill="F2F6FA"/>
            <w:tcMar>
              <w:top w:w="80" w:type="dxa"/>
              <w:start w:w="85" w:type="dxa"/>
              <w:bottom w:w="80" w:type="dxa"/>
              <w:end w:w="85" w:type="dxa"/>
            </w:tcMar>
          </w:tcPr>
          <w:p>
            <w:pPr>
              <w:spacing w:before="0" w:after="0" w:line="264" w:lineRule="auto"/>
            </w:pPr>
          </w:p>
        </w:tc>
      </w:tr>
      <w:tr>
        <w:tc>
          <w:tcPr>
            <w:tcW w:type="dxa" w:w="3393"/>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Is prior consultation with the ICO required before processing begins?</w:t>
            </w:r>
          </w:p>
        </w:tc>
        <w:tc>
          <w:tcPr>
            <w:tcW w:type="dxa" w:w="1596"/>
            <w:shd w:val="clear" w:color="auto" w:fill="F2F6FA"/>
            <w:tcMar>
              <w:top w:w="80" w:type="dxa"/>
              <w:start w:w="85" w:type="dxa"/>
              <w:bottom w:w="80" w:type="dxa"/>
              <w:end w:w="85" w:type="dxa"/>
            </w:tcMar>
          </w:tcPr>
          <w:p>
            <w:pPr>
              <w:spacing w:before="0" w:after="0" w:line="264" w:lineRule="auto"/>
            </w:pPr>
          </w:p>
        </w:tc>
        <w:tc>
          <w:tcPr>
            <w:tcW w:type="dxa" w:w="4989"/>
            <w:shd w:val="clear" w:color="auto" w:fill="F2F6FA"/>
            <w:tcMar>
              <w:top w:w="80" w:type="dxa"/>
              <w:start w:w="85" w:type="dxa"/>
              <w:bottom w:w="80" w:type="dxa"/>
              <w:end w:w="85" w:type="dxa"/>
            </w:tcMar>
          </w:tcPr>
          <w:p>
            <w:pPr>
              <w:spacing w:before="0" w:after="0" w:line="264" w:lineRule="auto"/>
            </w:pPr>
          </w:p>
        </w:tc>
      </w:tr>
      <w:tr>
        <w:tc>
          <w:tcPr>
            <w:tcW w:type="dxa" w:w="3393"/>
            <w:tcMar>
              <w:top w:w="80" w:type="dxa"/>
              <w:start w:w="85" w:type="dxa"/>
              <w:bottom w:w="80" w:type="dxa"/>
              <w:end w:w="85" w:type="dxa"/>
            </w:tcMar>
          </w:tcPr>
          <w:p>
            <w:pPr>
              <w:spacing w:before="0" w:after="0" w:line="264" w:lineRule="auto"/>
            </w:pPr>
            <w:r>
              <w:rPr>
                <w:rFonts w:ascii="Calibri" w:hAnsi="Calibri"/>
                <w:b/>
                <w:i w:val="0"/>
                <w:color w:val="2C3338"/>
                <w:sz w:val="16"/>
              </w:rPr>
              <w:t>Has consultation been requested? Reference and date</w:t>
            </w:r>
          </w:p>
        </w:tc>
        <w:tc>
          <w:tcPr>
            <w:tcW w:type="dxa" w:w="1596"/>
            <w:shd w:val="clear" w:color="auto" w:fill="F2F6FA"/>
            <w:tcMar>
              <w:top w:w="80" w:type="dxa"/>
              <w:start w:w="85" w:type="dxa"/>
              <w:bottom w:w="80" w:type="dxa"/>
              <w:end w:w="85" w:type="dxa"/>
            </w:tcMar>
          </w:tcPr>
          <w:p>
            <w:pPr>
              <w:spacing w:before="0" w:after="0" w:line="264" w:lineRule="auto"/>
            </w:pPr>
          </w:p>
        </w:tc>
        <w:tc>
          <w:tcPr>
            <w:tcW w:type="dxa" w:w="4989"/>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p>
      <w:pPr>
        <w:keepNext/>
        <w:spacing w:before="180" w:after="60" w:line="264" w:lineRule="auto"/>
      </w:pPr>
      <w:r>
        <w:rPr>
          <w:rFonts w:ascii="Calibri" w:hAnsi="Calibri"/>
          <w:b/>
          <w:i w:val="0"/>
          <w:color w:val="03273F"/>
          <w:sz w:val="24"/>
        </w:rPr>
        <w:t>8.3 Sign-off</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2594"/>
        <w:gridCol w:w="2395"/>
        <w:gridCol w:w="2594"/>
        <w:gridCol w:w="2395"/>
      </w:tblGrid>
      <w:tr>
        <w:trPr>
          <w:tblHeader w:val="true"/>
        </w:trPr>
        <w:tc>
          <w:tcPr>
            <w:tcW w:type="dxa" w:w="2594"/>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Role</w:t>
            </w:r>
          </w:p>
        </w:tc>
        <w:tc>
          <w:tcPr>
            <w:tcW w:type="dxa" w:w="2395"/>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Name</w:t>
            </w:r>
          </w:p>
        </w:tc>
        <w:tc>
          <w:tcPr>
            <w:tcW w:type="dxa" w:w="2594"/>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Signature</w:t>
            </w:r>
          </w:p>
        </w:tc>
        <w:tc>
          <w:tcPr>
            <w:tcW w:type="dxa" w:w="2395"/>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Date</w:t>
            </w:r>
          </w:p>
        </w:tc>
      </w:tr>
      <w:tr>
        <w:tc>
          <w:tcPr>
            <w:tcW w:type="dxa" w:w="2594"/>
            <w:tcMar>
              <w:top w:w="80" w:type="dxa"/>
              <w:start w:w="85" w:type="dxa"/>
              <w:bottom w:w="80" w:type="dxa"/>
              <w:end w:w="85" w:type="dxa"/>
            </w:tcMar>
          </w:tcPr>
          <w:p>
            <w:pPr>
              <w:spacing w:before="0" w:after="0" w:line="264" w:lineRule="auto"/>
            </w:pPr>
            <w:r>
              <w:rPr>
                <w:rFonts w:ascii="Calibri" w:hAnsi="Calibri"/>
                <w:b/>
                <w:i w:val="0"/>
                <w:color w:val="2C3338"/>
                <w:sz w:val="16"/>
              </w:rPr>
              <w:t>Assessment completed by</w:t>
            </w:r>
          </w:p>
        </w:tc>
        <w:tc>
          <w:tcPr>
            <w:tcW w:type="dxa" w:w="2395"/>
            <w:shd w:val="clear" w:color="auto" w:fill="F2F6FA"/>
            <w:tcMar>
              <w:top w:w="80" w:type="dxa"/>
              <w:start w:w="85" w:type="dxa"/>
              <w:bottom w:w="80" w:type="dxa"/>
              <w:end w:w="85" w:type="dxa"/>
            </w:tcMar>
          </w:tcPr>
          <w:p>
            <w:pPr>
              <w:spacing w:before="0" w:after="0" w:line="264" w:lineRule="auto"/>
            </w:pPr>
          </w:p>
        </w:tc>
        <w:tc>
          <w:tcPr>
            <w:tcW w:type="dxa" w:w="2594"/>
            <w:shd w:val="clear" w:color="auto" w:fill="F2F6FA"/>
            <w:tcMar>
              <w:top w:w="80" w:type="dxa"/>
              <w:start w:w="85" w:type="dxa"/>
              <w:bottom w:w="80" w:type="dxa"/>
              <w:end w:w="85" w:type="dxa"/>
            </w:tcMar>
          </w:tcPr>
          <w:p>
            <w:pPr>
              <w:spacing w:before="0" w:after="0" w:line="264" w:lineRule="auto"/>
            </w:pPr>
          </w:p>
        </w:tc>
        <w:tc>
          <w:tcPr>
            <w:tcW w:type="dxa" w:w="2395"/>
            <w:shd w:val="clear" w:color="auto" w:fill="F2F6FA"/>
            <w:tcMar>
              <w:top w:w="80" w:type="dxa"/>
              <w:start w:w="85" w:type="dxa"/>
              <w:bottom w:w="80" w:type="dxa"/>
              <w:end w:w="85" w:type="dxa"/>
            </w:tcMar>
          </w:tcPr>
          <w:p>
            <w:pPr>
              <w:spacing w:before="0" w:after="0" w:line="264" w:lineRule="auto"/>
            </w:pPr>
          </w:p>
        </w:tc>
      </w:tr>
      <w:tr>
        <w:tc>
          <w:tcPr>
            <w:tcW w:type="dxa" w:w="2594"/>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Data Protection Officer — advice given</w:t>
            </w:r>
          </w:p>
        </w:tc>
        <w:tc>
          <w:tcPr>
            <w:tcW w:type="dxa" w:w="2395"/>
            <w:shd w:val="clear" w:color="auto" w:fill="F2F6FA"/>
            <w:tcMar>
              <w:top w:w="80" w:type="dxa"/>
              <w:start w:w="85" w:type="dxa"/>
              <w:bottom w:w="80" w:type="dxa"/>
              <w:end w:w="85" w:type="dxa"/>
            </w:tcMar>
          </w:tcPr>
          <w:p>
            <w:pPr>
              <w:spacing w:before="0" w:after="0" w:line="264" w:lineRule="auto"/>
            </w:pPr>
          </w:p>
        </w:tc>
        <w:tc>
          <w:tcPr>
            <w:tcW w:type="dxa" w:w="2594"/>
            <w:shd w:val="clear" w:color="auto" w:fill="F2F6FA"/>
            <w:tcMar>
              <w:top w:w="80" w:type="dxa"/>
              <w:start w:w="85" w:type="dxa"/>
              <w:bottom w:w="80" w:type="dxa"/>
              <w:end w:w="85" w:type="dxa"/>
            </w:tcMar>
          </w:tcPr>
          <w:p>
            <w:pPr>
              <w:spacing w:before="0" w:after="0" w:line="264" w:lineRule="auto"/>
            </w:pPr>
          </w:p>
        </w:tc>
        <w:tc>
          <w:tcPr>
            <w:tcW w:type="dxa" w:w="2395"/>
            <w:shd w:val="clear" w:color="auto" w:fill="F2F6FA"/>
            <w:tcMar>
              <w:top w:w="80" w:type="dxa"/>
              <w:start w:w="85" w:type="dxa"/>
              <w:bottom w:w="80" w:type="dxa"/>
              <w:end w:w="85" w:type="dxa"/>
            </w:tcMar>
          </w:tcPr>
          <w:p>
            <w:pPr>
              <w:spacing w:before="0" w:after="0" w:line="264" w:lineRule="auto"/>
            </w:pPr>
          </w:p>
        </w:tc>
      </w:tr>
      <w:tr>
        <w:tc>
          <w:tcPr>
            <w:tcW w:type="dxa" w:w="2594"/>
            <w:tcMar>
              <w:top w:w="80" w:type="dxa"/>
              <w:start w:w="85" w:type="dxa"/>
              <w:bottom w:w="80" w:type="dxa"/>
              <w:end w:w="85" w:type="dxa"/>
            </w:tcMar>
          </w:tcPr>
          <w:p>
            <w:pPr>
              <w:spacing w:before="0" w:after="0" w:line="264" w:lineRule="auto"/>
            </w:pPr>
            <w:r>
              <w:rPr>
                <w:rFonts w:ascii="Calibri" w:hAnsi="Calibri"/>
                <w:b/>
                <w:i w:val="0"/>
                <w:color w:val="2C3338"/>
                <w:sz w:val="16"/>
              </w:rPr>
              <w:t>Information security owner</w:t>
            </w:r>
          </w:p>
        </w:tc>
        <w:tc>
          <w:tcPr>
            <w:tcW w:type="dxa" w:w="2395"/>
            <w:shd w:val="clear" w:color="auto" w:fill="F2F6FA"/>
            <w:tcMar>
              <w:top w:w="80" w:type="dxa"/>
              <w:start w:w="85" w:type="dxa"/>
              <w:bottom w:w="80" w:type="dxa"/>
              <w:end w:w="85" w:type="dxa"/>
            </w:tcMar>
          </w:tcPr>
          <w:p>
            <w:pPr>
              <w:spacing w:before="0" w:after="0" w:line="264" w:lineRule="auto"/>
            </w:pPr>
          </w:p>
        </w:tc>
        <w:tc>
          <w:tcPr>
            <w:tcW w:type="dxa" w:w="2594"/>
            <w:shd w:val="clear" w:color="auto" w:fill="F2F6FA"/>
            <w:tcMar>
              <w:top w:w="80" w:type="dxa"/>
              <w:start w:w="85" w:type="dxa"/>
              <w:bottom w:w="80" w:type="dxa"/>
              <w:end w:w="85" w:type="dxa"/>
            </w:tcMar>
          </w:tcPr>
          <w:p>
            <w:pPr>
              <w:spacing w:before="0" w:after="0" w:line="264" w:lineRule="auto"/>
            </w:pPr>
          </w:p>
        </w:tc>
        <w:tc>
          <w:tcPr>
            <w:tcW w:type="dxa" w:w="2395"/>
            <w:shd w:val="clear" w:color="auto" w:fill="F2F6FA"/>
            <w:tcMar>
              <w:top w:w="80" w:type="dxa"/>
              <w:start w:w="85" w:type="dxa"/>
              <w:bottom w:w="80" w:type="dxa"/>
              <w:end w:w="85" w:type="dxa"/>
            </w:tcMar>
          </w:tcPr>
          <w:p>
            <w:pPr>
              <w:spacing w:before="0" w:after="0" w:line="264" w:lineRule="auto"/>
            </w:pPr>
          </w:p>
        </w:tc>
      </w:tr>
      <w:tr>
        <w:tc>
          <w:tcPr>
            <w:tcW w:type="dxa" w:w="2594"/>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Operations or safety owner</w:t>
            </w:r>
          </w:p>
        </w:tc>
        <w:tc>
          <w:tcPr>
            <w:tcW w:type="dxa" w:w="2395"/>
            <w:shd w:val="clear" w:color="auto" w:fill="F2F6FA"/>
            <w:tcMar>
              <w:top w:w="80" w:type="dxa"/>
              <w:start w:w="85" w:type="dxa"/>
              <w:bottom w:w="80" w:type="dxa"/>
              <w:end w:w="85" w:type="dxa"/>
            </w:tcMar>
          </w:tcPr>
          <w:p>
            <w:pPr>
              <w:spacing w:before="0" w:after="0" w:line="264" w:lineRule="auto"/>
            </w:pPr>
          </w:p>
        </w:tc>
        <w:tc>
          <w:tcPr>
            <w:tcW w:type="dxa" w:w="2594"/>
            <w:shd w:val="clear" w:color="auto" w:fill="F2F6FA"/>
            <w:tcMar>
              <w:top w:w="80" w:type="dxa"/>
              <w:start w:w="85" w:type="dxa"/>
              <w:bottom w:w="80" w:type="dxa"/>
              <w:end w:w="85" w:type="dxa"/>
            </w:tcMar>
          </w:tcPr>
          <w:p>
            <w:pPr>
              <w:spacing w:before="0" w:after="0" w:line="264" w:lineRule="auto"/>
            </w:pPr>
          </w:p>
        </w:tc>
        <w:tc>
          <w:tcPr>
            <w:tcW w:type="dxa" w:w="2395"/>
            <w:shd w:val="clear" w:color="auto" w:fill="F2F6FA"/>
            <w:tcMar>
              <w:top w:w="80" w:type="dxa"/>
              <w:start w:w="85" w:type="dxa"/>
              <w:bottom w:w="80" w:type="dxa"/>
              <w:end w:w="85" w:type="dxa"/>
            </w:tcMar>
          </w:tcPr>
          <w:p>
            <w:pPr>
              <w:spacing w:before="0" w:after="0" w:line="264" w:lineRule="auto"/>
            </w:pPr>
          </w:p>
        </w:tc>
      </w:tr>
      <w:tr>
        <w:tc>
          <w:tcPr>
            <w:tcW w:type="dxa" w:w="2594"/>
            <w:tcMar>
              <w:top w:w="80" w:type="dxa"/>
              <w:start w:w="85" w:type="dxa"/>
              <w:bottom w:w="80" w:type="dxa"/>
              <w:end w:w="85" w:type="dxa"/>
            </w:tcMar>
          </w:tcPr>
          <w:p>
            <w:pPr>
              <w:spacing w:before="0" w:after="0" w:line="264" w:lineRule="auto"/>
            </w:pPr>
            <w:r>
              <w:rPr>
                <w:rFonts w:ascii="Calibri" w:hAnsi="Calibri"/>
                <w:b/>
                <w:i w:val="0"/>
                <w:color w:val="2C3338"/>
                <w:sz w:val="16"/>
              </w:rPr>
              <w:t>Senior responsible owner — risk accepted</w:t>
            </w:r>
          </w:p>
        </w:tc>
        <w:tc>
          <w:tcPr>
            <w:tcW w:type="dxa" w:w="2395"/>
            <w:shd w:val="clear" w:color="auto" w:fill="F2F6FA"/>
            <w:tcMar>
              <w:top w:w="80" w:type="dxa"/>
              <w:start w:w="85" w:type="dxa"/>
              <w:bottom w:w="80" w:type="dxa"/>
              <w:end w:w="85" w:type="dxa"/>
            </w:tcMar>
          </w:tcPr>
          <w:p>
            <w:pPr>
              <w:spacing w:before="0" w:after="0" w:line="264" w:lineRule="auto"/>
            </w:pPr>
          </w:p>
        </w:tc>
        <w:tc>
          <w:tcPr>
            <w:tcW w:type="dxa" w:w="2594"/>
            <w:shd w:val="clear" w:color="auto" w:fill="F2F6FA"/>
            <w:tcMar>
              <w:top w:w="80" w:type="dxa"/>
              <w:start w:w="85" w:type="dxa"/>
              <w:bottom w:w="80" w:type="dxa"/>
              <w:end w:w="85" w:type="dxa"/>
            </w:tcMar>
          </w:tcPr>
          <w:p>
            <w:pPr>
              <w:spacing w:before="0" w:after="0" w:line="264" w:lineRule="auto"/>
            </w:pPr>
          </w:p>
        </w:tc>
        <w:tc>
          <w:tcPr>
            <w:tcW w:type="dxa" w:w="2395"/>
            <w:shd w:val="clear" w:color="auto" w:fill="F2F6FA"/>
            <w:tcMar>
              <w:top w:w="80" w:type="dxa"/>
              <w:start w:w="85" w:type="dxa"/>
              <w:bottom w:w="80" w:type="dxa"/>
              <w:end w:w="85" w:type="dxa"/>
            </w:tcMar>
          </w:tcPr>
          <w:p>
            <w:pPr>
              <w:spacing w:before="0" w:after="0" w:line="264" w:lineRule="auto"/>
            </w:pPr>
          </w:p>
        </w:tc>
      </w:tr>
      <w:tr>
        <w:tc>
          <w:tcPr>
            <w:tcW w:type="dxa" w:w="2594"/>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Commissioning authority, where applicable</w:t>
            </w:r>
          </w:p>
        </w:tc>
        <w:tc>
          <w:tcPr>
            <w:tcW w:type="dxa" w:w="2395"/>
            <w:shd w:val="clear" w:color="auto" w:fill="F2F6FA"/>
            <w:tcMar>
              <w:top w:w="80" w:type="dxa"/>
              <w:start w:w="85" w:type="dxa"/>
              <w:bottom w:w="80" w:type="dxa"/>
              <w:end w:w="85" w:type="dxa"/>
            </w:tcMar>
          </w:tcPr>
          <w:p>
            <w:pPr>
              <w:spacing w:before="0" w:after="0" w:line="264" w:lineRule="auto"/>
            </w:pPr>
          </w:p>
        </w:tc>
        <w:tc>
          <w:tcPr>
            <w:tcW w:type="dxa" w:w="2594"/>
            <w:shd w:val="clear" w:color="auto" w:fill="F2F6FA"/>
            <w:tcMar>
              <w:top w:w="80" w:type="dxa"/>
              <w:start w:w="85" w:type="dxa"/>
              <w:bottom w:w="80" w:type="dxa"/>
              <w:end w:w="85" w:type="dxa"/>
            </w:tcMar>
          </w:tcPr>
          <w:p>
            <w:pPr>
              <w:spacing w:before="0" w:after="0" w:line="264" w:lineRule="auto"/>
            </w:pPr>
          </w:p>
        </w:tc>
        <w:tc>
          <w:tcPr>
            <w:tcW w:type="dxa" w:w="2395"/>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tbl>
      <w:tblPr>
        <w:tblW w:type="auto" w:w="0"/>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4989"/>
        <w:gridCol w:w="4989"/>
      </w:tblGrid>
      <w:tr>
        <w:trPr>
          <w:cantSplit/>
        </w:trPr>
        <w:tc>
          <w:tcPr>
            <w:tcW w:type="dxa" w:w="4989"/>
            <w:tcMar>
              <w:top w:w="0" w:type="dxa"/>
              <w:start w:w="0" w:type="dxa"/>
              <w:bottom w:w="0" w:type="dxa"/>
              <w:end w:w="110" w:type="dxa"/>
            </w:tcMar>
          </w:tcPr>
          <w:p>
            <w:pPr>
              <w:keepNext/>
              <w:spacing w:before="0" w:after="20" w:line="240" w:lineRule="auto"/>
            </w:pPr>
            <w:r>
              <w:rPr>
                <w:rFonts w:ascii="Calibri" w:hAnsi="Calibri"/>
                <w:b/>
                <w:i w:val="0"/>
                <w:color w:val="19455E"/>
                <w:sz w:val="16"/>
              </w:rPr>
              <w:t>DPIA version and reference</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c>
          <w:tcPr>
            <w:tcW w:type="dxa" w:w="4989"/>
            <w:tcMar>
              <w:top w:w="0" w:type="dxa"/>
              <w:start w:w="0" w:type="dxa"/>
              <w:bottom w:w="0" w:type="dxa"/>
              <w:end w:w="0" w:type="dxa"/>
            </w:tcMar>
          </w:tcPr>
          <w:p>
            <w:pPr>
              <w:keepNext/>
              <w:spacing w:before="0" w:after="20" w:line="240" w:lineRule="auto"/>
            </w:pPr>
            <w:r>
              <w:rPr>
                <w:rFonts w:ascii="Calibri" w:hAnsi="Calibri"/>
                <w:b/>
                <w:i w:val="0"/>
                <w:color w:val="19455E"/>
                <w:sz w:val="16"/>
              </w:rPr>
              <w:t>Scheduled review date</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r>
    </w:tbl>
    <w:p>
      <w:pPr>
        <w:spacing w:before="0" w:after="80" w:line="240" w:lineRule="auto"/>
      </w:pPr>
    </w:p>
    <w:p>
      <w:pPr>
        <w:keepNext/>
        <w:spacing w:before="180" w:after="60" w:line="264" w:lineRule="auto"/>
      </w:pPr>
      <w:r>
        <w:rPr>
          <w:rFonts w:ascii="Calibri" w:hAnsi="Calibri"/>
          <w:b/>
          <w:i w:val="0"/>
          <w:color w:val="03273F"/>
          <w:sz w:val="24"/>
        </w:rPr>
        <w:t>8.4 Review and reassessment triggers</w:t>
      </w:r>
    </w:p>
    <w:p>
      <w:pPr>
        <w:spacing w:before="0" w:after="100" w:line="283" w:lineRule="auto"/>
      </w:pPr>
      <w:r>
        <w:rPr>
          <w:rFonts w:ascii="Calibri" w:hAnsi="Calibri"/>
          <w:b w:val="0"/>
          <w:i w:val="0"/>
          <w:color w:val="4B4F58"/>
          <w:sz w:val="19"/>
        </w:rPr>
        <w:t>Review this assessment on the scheduled date and, in any event, whenever one of the following occurs. Record the trigger, the date and the outcome.</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3991"/>
        <w:gridCol w:w="5987"/>
      </w:tblGrid>
      <w:tr>
        <w:trPr>
          <w:tblHeader w:val="true"/>
        </w:trPr>
        <w:tc>
          <w:tcPr>
            <w:tcW w:type="dxa" w:w="3991"/>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Trigger</w:t>
            </w:r>
          </w:p>
        </w:tc>
        <w:tc>
          <w:tcPr>
            <w:tcW w:type="dxa" w:w="5987"/>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Trigger occurred: date, description and outcome</w:t>
            </w:r>
          </w:p>
        </w:tc>
      </w:tr>
      <w:tr>
        <w:tc>
          <w:tcPr>
            <w:tcW w:type="dxa" w:w="3991"/>
            <w:tcMar>
              <w:top w:w="80" w:type="dxa"/>
              <w:start w:w="85" w:type="dxa"/>
              <w:bottom w:w="80" w:type="dxa"/>
              <w:end w:w="85" w:type="dxa"/>
            </w:tcMar>
          </w:tcPr>
          <w:p>
            <w:pPr>
              <w:spacing w:before="0" w:after="0" w:line="264" w:lineRule="auto"/>
            </w:pPr>
            <w:r>
              <w:rPr>
                <w:rFonts w:ascii="Calibri" w:hAnsi="Calibri"/>
                <w:b/>
                <w:i w:val="0"/>
                <w:color w:val="2C3338"/>
                <w:sz w:val="16"/>
              </w:rPr>
              <w:t>New analytics or signals enabled, including any camera-based feature</w:t>
            </w:r>
          </w:p>
        </w:tc>
        <w:tc>
          <w:tcPr>
            <w:tcW w:type="dxa" w:w="5987"/>
            <w:shd w:val="clear" w:color="auto" w:fill="F2F6FA"/>
            <w:tcMar>
              <w:top w:w="80" w:type="dxa"/>
              <w:start w:w="85" w:type="dxa"/>
              <w:bottom w:w="80" w:type="dxa"/>
              <w:end w:w="85" w:type="dxa"/>
            </w:tcMar>
          </w:tcPr>
          <w:p>
            <w:pPr>
              <w:spacing w:before="0" w:after="0" w:line="264" w:lineRule="auto"/>
            </w:pPr>
          </w:p>
        </w:tc>
      </w:tr>
      <w:tr>
        <w:tc>
          <w:tcPr>
            <w:tcW w:type="dxa" w:w="3991"/>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New data sharing, new recipient or a new linkage to another data set</w:t>
            </w:r>
          </w:p>
        </w:tc>
        <w:tc>
          <w:tcPr>
            <w:tcW w:type="dxa" w:w="5987"/>
            <w:shd w:val="clear" w:color="auto" w:fill="F2F6FA"/>
            <w:tcMar>
              <w:top w:w="80" w:type="dxa"/>
              <w:start w:w="85" w:type="dxa"/>
              <w:bottom w:w="80" w:type="dxa"/>
              <w:end w:w="85" w:type="dxa"/>
            </w:tcMar>
          </w:tcPr>
          <w:p>
            <w:pPr>
              <w:spacing w:before="0" w:after="0" w:line="264" w:lineRule="auto"/>
            </w:pPr>
          </w:p>
        </w:tc>
      </w:tr>
      <w:tr>
        <w:tc>
          <w:tcPr>
            <w:tcW w:type="dxa" w:w="3991"/>
            <w:tcMar>
              <w:top w:w="80" w:type="dxa"/>
              <w:start w:w="85" w:type="dxa"/>
              <w:bottom w:w="80" w:type="dxa"/>
              <w:end w:w="85" w:type="dxa"/>
            </w:tcMar>
          </w:tcPr>
          <w:p>
            <w:pPr>
              <w:spacing w:before="0" w:after="0" w:line="264" w:lineRule="auto"/>
            </w:pPr>
            <w:r>
              <w:rPr>
                <w:rFonts w:ascii="Calibri" w:hAnsi="Calibri"/>
                <w:b/>
                <w:i w:val="0"/>
                <w:color w:val="2C3338"/>
                <w:sz w:val="16"/>
              </w:rPr>
              <w:t>Change to a retention period or to the deletion mechanism</w:t>
            </w:r>
          </w:p>
        </w:tc>
        <w:tc>
          <w:tcPr>
            <w:tcW w:type="dxa" w:w="5987"/>
            <w:shd w:val="clear" w:color="auto" w:fill="F2F6FA"/>
            <w:tcMar>
              <w:top w:w="80" w:type="dxa"/>
              <w:start w:w="85" w:type="dxa"/>
              <w:bottom w:w="80" w:type="dxa"/>
              <w:end w:w="85" w:type="dxa"/>
            </w:tcMar>
          </w:tcPr>
          <w:p>
            <w:pPr>
              <w:spacing w:before="0" w:after="0" w:line="264" w:lineRule="auto"/>
            </w:pPr>
          </w:p>
        </w:tc>
      </w:tr>
      <w:tr>
        <w:tc>
          <w:tcPr>
            <w:tcW w:type="dxa" w:w="3991"/>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Supplier, sub-processor, hosting location or broker change</w:t>
            </w:r>
          </w:p>
        </w:tc>
        <w:tc>
          <w:tcPr>
            <w:tcW w:type="dxa" w:w="5987"/>
            <w:shd w:val="clear" w:color="auto" w:fill="F2F6FA"/>
            <w:tcMar>
              <w:top w:w="80" w:type="dxa"/>
              <w:start w:w="85" w:type="dxa"/>
              <w:bottom w:w="80" w:type="dxa"/>
              <w:end w:w="85" w:type="dxa"/>
            </w:tcMar>
          </w:tcPr>
          <w:p>
            <w:pPr>
              <w:spacing w:before="0" w:after="0" w:line="264" w:lineRule="auto"/>
            </w:pPr>
          </w:p>
        </w:tc>
      </w:tr>
      <w:tr>
        <w:tc>
          <w:tcPr>
            <w:tcW w:type="dxa" w:w="3991"/>
            <w:tcMar>
              <w:top w:w="80" w:type="dxa"/>
              <w:start w:w="85" w:type="dxa"/>
              <w:bottom w:w="80" w:type="dxa"/>
              <w:end w:w="85" w:type="dxa"/>
            </w:tcMar>
          </w:tcPr>
          <w:p>
            <w:pPr>
              <w:spacing w:before="0" w:after="0" w:line="264" w:lineRule="auto"/>
            </w:pPr>
            <w:r>
              <w:rPr>
                <w:rFonts w:ascii="Calibri" w:hAnsi="Calibri"/>
                <w:b/>
                <w:i w:val="0"/>
                <w:color w:val="2C3338"/>
                <w:sz w:val="16"/>
              </w:rPr>
              <w:t>Fleet expansion, new route type, or extension to a service with more vulnerable passengers</w:t>
            </w:r>
          </w:p>
        </w:tc>
        <w:tc>
          <w:tcPr>
            <w:tcW w:type="dxa" w:w="5987"/>
            <w:shd w:val="clear" w:color="auto" w:fill="F2F6FA"/>
            <w:tcMar>
              <w:top w:w="80" w:type="dxa"/>
              <w:start w:w="85" w:type="dxa"/>
              <w:bottom w:w="80" w:type="dxa"/>
              <w:end w:w="85" w:type="dxa"/>
            </w:tcMar>
          </w:tcPr>
          <w:p>
            <w:pPr>
              <w:spacing w:before="0" w:after="0" w:line="264" w:lineRule="auto"/>
            </w:pPr>
          </w:p>
        </w:tc>
      </w:tr>
      <w:tr>
        <w:tc>
          <w:tcPr>
            <w:tcW w:type="dxa" w:w="3991"/>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Security incident, personal data breach, or a near miss</w:t>
            </w:r>
          </w:p>
        </w:tc>
        <w:tc>
          <w:tcPr>
            <w:tcW w:type="dxa" w:w="5987"/>
            <w:shd w:val="clear" w:color="auto" w:fill="F2F6FA"/>
            <w:tcMar>
              <w:top w:w="80" w:type="dxa"/>
              <w:start w:w="85" w:type="dxa"/>
              <w:bottom w:w="80" w:type="dxa"/>
              <w:end w:w="85" w:type="dxa"/>
            </w:tcMar>
          </w:tcPr>
          <w:p>
            <w:pPr>
              <w:spacing w:before="0" w:after="0" w:line="264" w:lineRule="auto"/>
            </w:pPr>
          </w:p>
        </w:tc>
      </w:tr>
      <w:tr>
        <w:tc>
          <w:tcPr>
            <w:tcW w:type="dxa" w:w="3991"/>
            <w:tcMar>
              <w:top w:w="80" w:type="dxa"/>
              <w:start w:w="85" w:type="dxa"/>
              <w:bottom w:w="80" w:type="dxa"/>
              <w:end w:w="85" w:type="dxa"/>
            </w:tcMar>
          </w:tcPr>
          <w:p>
            <w:pPr>
              <w:spacing w:before="0" w:after="0" w:line="264" w:lineRule="auto"/>
            </w:pPr>
            <w:r>
              <w:rPr>
                <w:rFonts w:ascii="Calibri" w:hAnsi="Calibri"/>
                <w:b/>
                <w:i w:val="0"/>
                <w:color w:val="2C3338"/>
                <w:sz w:val="16"/>
              </w:rPr>
              <w:t>Material accuracy problem, extended outage or a systematic sensor fault</w:t>
            </w:r>
          </w:p>
        </w:tc>
        <w:tc>
          <w:tcPr>
            <w:tcW w:type="dxa" w:w="5987"/>
            <w:shd w:val="clear" w:color="auto" w:fill="F2F6FA"/>
            <w:tcMar>
              <w:top w:w="80" w:type="dxa"/>
              <w:start w:w="85" w:type="dxa"/>
              <w:bottom w:w="80" w:type="dxa"/>
              <w:end w:w="85" w:type="dxa"/>
            </w:tcMar>
          </w:tcPr>
          <w:p>
            <w:pPr>
              <w:spacing w:before="0" w:after="0" w:line="264" w:lineRule="auto"/>
            </w:pPr>
          </w:p>
        </w:tc>
      </w:tr>
      <w:tr>
        <w:tc>
          <w:tcPr>
            <w:tcW w:type="dxa" w:w="3991"/>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Complaint, rights request or regulatory enquiry that reveals a gap</w:t>
            </w:r>
          </w:p>
        </w:tc>
        <w:tc>
          <w:tcPr>
            <w:tcW w:type="dxa" w:w="5987"/>
            <w:shd w:val="clear" w:color="auto" w:fill="F2F6FA"/>
            <w:tcMar>
              <w:top w:w="80" w:type="dxa"/>
              <w:start w:w="85" w:type="dxa"/>
              <w:bottom w:w="80" w:type="dxa"/>
              <w:end w:w="85" w:type="dxa"/>
            </w:tcMar>
          </w:tcPr>
          <w:p>
            <w:pPr>
              <w:spacing w:before="0" w:after="0" w:line="264" w:lineRule="auto"/>
            </w:pPr>
          </w:p>
        </w:tc>
      </w:tr>
      <w:tr>
        <w:tc>
          <w:tcPr>
            <w:tcW w:type="dxa" w:w="3991"/>
            <w:tcMar>
              <w:top w:w="80" w:type="dxa"/>
              <w:start w:w="85" w:type="dxa"/>
              <w:bottom w:w="80" w:type="dxa"/>
              <w:end w:w="85" w:type="dxa"/>
            </w:tcMar>
          </w:tcPr>
          <w:p>
            <w:pPr>
              <w:spacing w:before="0" w:after="0" w:line="264" w:lineRule="auto"/>
            </w:pPr>
            <w:r>
              <w:rPr>
                <w:rFonts w:ascii="Calibri" w:hAnsi="Calibri"/>
                <w:b/>
                <w:i w:val="0"/>
                <w:color w:val="2C3338"/>
                <w:sz w:val="16"/>
              </w:rPr>
              <w:t>Change in law or in ICO guidance, including guidance revised following the Data (Use and Access) Act 2025</w:t>
            </w:r>
          </w:p>
        </w:tc>
        <w:tc>
          <w:tcPr>
            <w:tcW w:type="dxa" w:w="5987"/>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p>
      <w:pPr>
        <w:spacing w:before="0" w:after="0" w:line="240" w:lineRule="auto"/>
      </w:pPr>
      <w:r>
        <w:br w:type="page"/>
      </w:r>
    </w:p>
    <w:tbl>
      <w:tblPr>
        <w:tblW w:type="auto" w:w="0"/>
        <w:jc w:val="left"/>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9978"/>
      </w:tblGrid>
      <w:tr>
        <w:trPr>
          <w:cantSplit/>
        </w:trPr>
        <w:tc>
          <w:tcPr>
            <w:tcW w:type="dxa" w:w="9978"/>
            <w:shd w:val="clear" w:color="auto" w:fill="03273F"/>
            <w:tcMar>
              <w:top w:w="150" w:type="dxa"/>
              <w:start w:w="170" w:type="dxa"/>
              <w:bottom w:w="150" w:type="dxa"/>
              <w:end w:w="170" w:type="dxa"/>
            </w:tcMar>
          </w:tcPr>
          <w:p>
            <w:pPr>
              <w:keepNext/>
              <w:spacing w:before="0" w:after="0" w:line="264" w:lineRule="auto"/>
            </w:pPr>
            <w:r>
              <w:rPr>
                <w:rFonts w:ascii="Calibri" w:hAnsi="Calibri"/>
                <w:b/>
                <w:color w:val="FFFFFF"/>
                <w:sz w:val="30"/>
              </w:rPr>
              <w:t>Annex A — Supplier information request</w:t>
            </w:r>
          </w:p>
        </w:tc>
      </w:tr>
    </w:tbl>
    <w:p>
      <w:pPr>
        <w:keepNext/>
        <w:spacing w:before="0" w:after="60" w:line="240" w:lineRule="auto"/>
      </w:pPr>
    </w:p>
    <w:p>
      <w:pPr>
        <w:spacing w:before="0" w:after="100" w:line="283" w:lineRule="auto"/>
      </w:pPr>
      <w:r>
        <w:rPr>
          <w:rFonts w:ascii="Calibri" w:hAnsi="Calibri"/>
          <w:b w:val="0"/>
          <w:i w:val="0"/>
          <w:color w:val="4B4F58"/>
          <w:sz w:val="19"/>
        </w:rPr>
        <w:t>Send this to the APC supplier and to any CCTV or telematics supplier whose data will be in scope. Ask for written answers with evidence attached, and treat "commercially confidential" as a reason to sign a non-disclosure agreement rather than a reason to accept a gap. A supplier can and should provide DPIA inputs; it cannot conclude that a DPIA is unnecessary.</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499"/>
        <w:gridCol w:w="5488"/>
        <w:gridCol w:w="3991"/>
      </w:tblGrid>
      <w:tr>
        <w:trPr>
          <w:tblHeader w:val="true"/>
        </w:trPr>
        <w:tc>
          <w:tcPr>
            <w:tcW w:type="dxa" w:w="499"/>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w:t>
            </w:r>
          </w:p>
        </w:tc>
        <w:tc>
          <w:tcPr>
            <w:tcW w:type="dxa" w:w="5488"/>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Question</w:t>
            </w:r>
          </w:p>
        </w:tc>
        <w:tc>
          <w:tcPr>
            <w:tcW w:type="dxa" w:w="3991"/>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Supplier response and evidence attached</w:t>
            </w:r>
          </w:p>
        </w:tc>
      </w:tr>
      <w:tr>
        <w:tc>
          <w:tcPr>
            <w:tcW w:type="dxa" w:w="499"/>
            <w:noWrap/>
            <w:tcMar>
              <w:top w:w="80" w:type="dxa"/>
              <w:start w:w="85" w:type="dxa"/>
              <w:bottom w:w="80" w:type="dxa"/>
              <w:end w:w="85" w:type="dxa"/>
            </w:tcMar>
          </w:tcPr>
          <w:p>
            <w:pPr>
              <w:spacing w:before="0" w:after="0" w:line="264" w:lineRule="auto"/>
            </w:pPr>
            <w:r>
              <w:rPr>
                <w:rFonts w:ascii="Calibri" w:hAnsi="Calibri"/>
                <w:b/>
                <w:i w:val="0"/>
                <w:color w:val="2C3338"/>
                <w:sz w:val="16"/>
              </w:rPr>
              <w:t>A1</w:t>
            </w:r>
          </w:p>
        </w:tc>
        <w:tc>
          <w:tcPr>
            <w:tcW w:type="dxa" w:w="5488"/>
            <w:tcMar>
              <w:top w:w="80" w:type="dxa"/>
              <w:start w:w="85" w:type="dxa"/>
              <w:bottom w:w="80" w:type="dxa"/>
              <w:end w:w="85" w:type="dxa"/>
            </w:tcMar>
          </w:tcPr>
          <w:p>
            <w:pPr>
              <w:spacing w:before="0" w:after="0" w:line="264" w:lineRule="auto"/>
            </w:pPr>
            <w:r>
              <w:rPr>
                <w:rFonts w:ascii="Calibri" w:hAnsi="Calibri"/>
                <w:b w:val="0"/>
                <w:i w:val="0"/>
                <w:color w:val="4B4F58"/>
                <w:sz w:val="16"/>
              </w:rPr>
              <w:t>Provide a complete data-flow diagram from sensor to storage to export, naming every component and protocol.</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A2</w:t>
            </w:r>
          </w:p>
        </w:tc>
        <w:tc>
          <w:tcPr>
            <w:tcW w:type="dxa" w:w="548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List every data element the system holds at each stage, and state which are personal data in your view and why.</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noWrap/>
            <w:tcMar>
              <w:top w:w="80" w:type="dxa"/>
              <w:start w:w="85" w:type="dxa"/>
              <w:bottom w:w="80" w:type="dxa"/>
              <w:end w:w="85" w:type="dxa"/>
            </w:tcMar>
          </w:tcPr>
          <w:p>
            <w:pPr>
              <w:spacing w:before="0" w:after="0" w:line="264" w:lineRule="auto"/>
            </w:pPr>
            <w:r>
              <w:rPr>
                <w:rFonts w:ascii="Calibri" w:hAnsi="Calibri"/>
                <w:b/>
                <w:i w:val="0"/>
                <w:color w:val="2C3338"/>
                <w:sz w:val="16"/>
              </w:rPr>
              <w:t>A3</w:t>
            </w:r>
          </w:p>
        </w:tc>
        <w:tc>
          <w:tcPr>
            <w:tcW w:type="dxa" w:w="5488"/>
            <w:tcMar>
              <w:top w:w="80" w:type="dxa"/>
              <w:start w:w="85" w:type="dxa"/>
              <w:bottom w:w="80" w:type="dxa"/>
              <w:end w:w="85" w:type="dxa"/>
            </w:tcMar>
          </w:tcPr>
          <w:p>
            <w:pPr>
              <w:spacing w:before="0" w:after="0" w:line="264" w:lineRule="auto"/>
            </w:pPr>
            <w:r>
              <w:rPr>
                <w:rFonts w:ascii="Calibri" w:hAnsi="Calibri"/>
                <w:b w:val="0"/>
                <w:i w:val="0"/>
                <w:color w:val="4B4F58"/>
                <w:sz w:val="16"/>
              </w:rPr>
              <w:t>Confirm what leaves the vehicle in the counting path. State explicitly whether any image, video frame, face template or device identifier is transmitted, and how we can verify this in our own installation.</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A4</w:t>
            </w:r>
          </w:p>
        </w:tc>
        <w:tc>
          <w:tcPr>
            <w:tcW w:type="dxa" w:w="548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Where welfare or behavioural analytics are offered, state what is processed on the device, what is transmitted, what is stored, and whether any imagery is retained.</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noWrap/>
            <w:tcMar>
              <w:top w:w="80" w:type="dxa"/>
              <w:start w:w="85" w:type="dxa"/>
              <w:bottom w:w="80" w:type="dxa"/>
              <w:end w:w="85" w:type="dxa"/>
            </w:tcMar>
          </w:tcPr>
          <w:p>
            <w:pPr>
              <w:spacing w:before="0" w:after="0" w:line="264" w:lineRule="auto"/>
            </w:pPr>
            <w:r>
              <w:rPr>
                <w:rFonts w:ascii="Calibri" w:hAnsi="Calibri"/>
                <w:b/>
                <w:i w:val="0"/>
                <w:color w:val="2C3338"/>
                <w:sz w:val="16"/>
              </w:rPr>
              <w:t>A5</w:t>
            </w:r>
          </w:p>
        </w:tc>
        <w:tc>
          <w:tcPr>
            <w:tcW w:type="dxa" w:w="5488"/>
            <w:tcMar>
              <w:top w:w="80" w:type="dxa"/>
              <w:start w:w="85" w:type="dxa"/>
              <w:bottom w:w="80" w:type="dxa"/>
              <w:end w:w="85" w:type="dxa"/>
            </w:tcMar>
          </w:tcPr>
          <w:p>
            <w:pPr>
              <w:spacing w:before="0" w:after="0" w:line="264" w:lineRule="auto"/>
            </w:pPr>
            <w:r>
              <w:rPr>
                <w:rFonts w:ascii="Calibri" w:hAnsi="Calibri"/>
                <w:b w:val="0"/>
                <w:i w:val="0"/>
                <w:color w:val="4B4F58"/>
                <w:sz w:val="16"/>
              </w:rPr>
              <w:t>List all hosting, processing, backup and support locations by country, including any remote access from outside the United Kingdom.</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A6</w:t>
            </w:r>
          </w:p>
        </w:tc>
        <w:tc>
          <w:tcPr>
            <w:tcW w:type="dxa" w:w="548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Provide your sub-processor register with function and location, and your notice and objection terms for change.</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noWrap/>
            <w:tcMar>
              <w:top w:w="80" w:type="dxa"/>
              <w:start w:w="85" w:type="dxa"/>
              <w:bottom w:w="80" w:type="dxa"/>
              <w:end w:w="85" w:type="dxa"/>
            </w:tcMar>
          </w:tcPr>
          <w:p>
            <w:pPr>
              <w:spacing w:before="0" w:after="0" w:line="264" w:lineRule="auto"/>
            </w:pPr>
            <w:r>
              <w:rPr>
                <w:rFonts w:ascii="Calibri" w:hAnsi="Calibri"/>
                <w:b/>
                <w:i w:val="0"/>
                <w:color w:val="2C3338"/>
                <w:sz w:val="16"/>
              </w:rPr>
              <w:t>A7</w:t>
            </w:r>
          </w:p>
        </w:tc>
        <w:tc>
          <w:tcPr>
            <w:tcW w:type="dxa" w:w="5488"/>
            <w:tcMar>
              <w:top w:w="80" w:type="dxa"/>
              <w:start w:w="85" w:type="dxa"/>
              <w:bottom w:w="80" w:type="dxa"/>
              <w:end w:w="85" w:type="dxa"/>
            </w:tcMar>
          </w:tcPr>
          <w:p>
            <w:pPr>
              <w:spacing w:before="0" w:after="0" w:line="264" w:lineRule="auto"/>
            </w:pPr>
            <w:r>
              <w:rPr>
                <w:rFonts w:ascii="Calibri" w:hAnsi="Calibri"/>
                <w:b w:val="0"/>
                <w:i w:val="0"/>
                <w:color w:val="4B4F58"/>
                <w:sz w:val="16"/>
              </w:rPr>
              <w:t>State the retention periods the platform can enforce per data class, whether they are configurable by us, and how deletion is executed.</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A8</w:t>
            </w:r>
          </w:p>
        </w:tc>
        <w:tc>
          <w:tcPr>
            <w:tcW w:type="dxa" w:w="548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Describe how you evidence deletion, and provide a sample deletion report.</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noWrap/>
            <w:tcMar>
              <w:top w:w="80" w:type="dxa"/>
              <w:start w:w="85" w:type="dxa"/>
              <w:bottom w:w="80" w:type="dxa"/>
              <w:end w:w="85" w:type="dxa"/>
            </w:tcMar>
          </w:tcPr>
          <w:p>
            <w:pPr>
              <w:spacing w:before="0" w:after="0" w:line="264" w:lineRule="auto"/>
            </w:pPr>
            <w:r>
              <w:rPr>
                <w:rFonts w:ascii="Calibri" w:hAnsi="Calibri"/>
                <w:b/>
                <w:i w:val="0"/>
                <w:color w:val="2C3338"/>
                <w:sz w:val="16"/>
              </w:rPr>
              <w:t>A9</w:t>
            </w:r>
          </w:p>
        </w:tc>
        <w:tc>
          <w:tcPr>
            <w:tcW w:type="dxa" w:w="5488"/>
            <w:tcMar>
              <w:top w:w="80" w:type="dxa"/>
              <w:start w:w="85" w:type="dxa"/>
              <w:bottom w:w="80" w:type="dxa"/>
              <w:end w:w="85" w:type="dxa"/>
            </w:tcMar>
          </w:tcPr>
          <w:p>
            <w:pPr>
              <w:spacing w:before="0" w:after="0" w:line="264" w:lineRule="auto"/>
            </w:pPr>
            <w:r>
              <w:rPr>
                <w:rFonts w:ascii="Calibri" w:hAnsi="Calibri"/>
                <w:b w:val="0"/>
                <w:i w:val="0"/>
                <w:color w:val="4B4F58"/>
                <w:sz w:val="16"/>
              </w:rPr>
              <w:t>Describe access controls: authentication model, per-user accounts, role-based permissions, login auditing, session management and administrative access by your own staff.</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A10</w:t>
            </w:r>
          </w:p>
        </w:tc>
        <w:tc>
          <w:tcPr>
            <w:tcW w:type="dxa" w:w="548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Describe credential management for the message broker and dashboard, including per-client permissions, rotation policy and how secrets are kept out of source code.</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noWrap/>
            <w:tcMar>
              <w:top w:w="80" w:type="dxa"/>
              <w:start w:w="85" w:type="dxa"/>
              <w:bottom w:w="80" w:type="dxa"/>
              <w:end w:w="85" w:type="dxa"/>
            </w:tcMar>
          </w:tcPr>
          <w:p>
            <w:pPr>
              <w:spacing w:before="0" w:after="0" w:line="264" w:lineRule="auto"/>
            </w:pPr>
            <w:r>
              <w:rPr>
                <w:rFonts w:ascii="Calibri" w:hAnsi="Calibri"/>
                <w:b/>
                <w:i w:val="0"/>
                <w:color w:val="2C3338"/>
                <w:sz w:val="16"/>
              </w:rPr>
              <w:t>A12</w:t>
            </w:r>
          </w:p>
        </w:tc>
        <w:tc>
          <w:tcPr>
            <w:tcW w:type="dxa" w:w="5488"/>
            <w:tcMar>
              <w:top w:w="80" w:type="dxa"/>
              <w:start w:w="85" w:type="dxa"/>
              <w:bottom w:w="80" w:type="dxa"/>
              <w:end w:w="85" w:type="dxa"/>
            </w:tcMar>
          </w:tcPr>
          <w:p>
            <w:pPr>
              <w:spacing w:before="0" w:after="0" w:line="264" w:lineRule="auto"/>
            </w:pPr>
            <w:r>
              <w:rPr>
                <w:rFonts w:ascii="Calibri" w:hAnsi="Calibri"/>
                <w:b w:val="0"/>
                <w:i w:val="0"/>
                <w:color w:val="4B4F58"/>
                <w:sz w:val="16"/>
              </w:rPr>
              <w:t>Provide security certifications with the exact legal entity, scope and expiry date, or explain what assurance you offer instead.</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A13</w:t>
            </w:r>
          </w:p>
        </w:tc>
        <w:tc>
          <w:tcPr>
            <w:tcW w:type="dxa" w:w="548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State your breach notification terms: detection, the time within which you will notify us, what information you will provide, and your support during our own assessment.</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noWrap/>
            <w:tcMar>
              <w:top w:w="80" w:type="dxa"/>
              <w:start w:w="85" w:type="dxa"/>
              <w:bottom w:w="80" w:type="dxa"/>
              <w:end w:w="85" w:type="dxa"/>
            </w:tcMar>
          </w:tcPr>
          <w:p>
            <w:pPr>
              <w:spacing w:before="0" w:after="0" w:line="264" w:lineRule="auto"/>
            </w:pPr>
            <w:r>
              <w:rPr>
                <w:rFonts w:ascii="Calibri" w:hAnsi="Calibri"/>
                <w:b/>
                <w:i w:val="0"/>
                <w:color w:val="2C3338"/>
                <w:sz w:val="16"/>
              </w:rPr>
              <w:t>A14</w:t>
            </w:r>
          </w:p>
        </w:tc>
        <w:tc>
          <w:tcPr>
            <w:tcW w:type="dxa" w:w="5488"/>
            <w:tcMar>
              <w:top w:w="80" w:type="dxa"/>
              <w:start w:w="85" w:type="dxa"/>
              <w:bottom w:w="80" w:type="dxa"/>
              <w:end w:w="85" w:type="dxa"/>
            </w:tcMar>
          </w:tcPr>
          <w:p>
            <w:pPr>
              <w:spacing w:before="0" w:after="0" w:line="264" w:lineRule="auto"/>
            </w:pPr>
            <w:r>
              <w:rPr>
                <w:rFonts w:ascii="Calibri" w:hAnsi="Calibri"/>
                <w:b w:val="0"/>
                <w:i w:val="0"/>
                <w:color w:val="4B4F58"/>
                <w:sz w:val="16"/>
              </w:rPr>
              <w:t>Describe your accuracy validation method, and provide validation results for installations comparable to ours, including denominator, sample, tolerance, vehicle, door, sensor and firmware scope.</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A15</w:t>
            </w:r>
          </w:p>
        </w:tc>
        <w:tc>
          <w:tcPr>
            <w:tcW w:type="dxa" w:w="548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Describe sensor-health monitoring, liveness thresholds and how an outage is made visible in the data rather than appearing as zero demand.</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noWrap/>
            <w:tcMar>
              <w:top w:w="80" w:type="dxa"/>
              <w:start w:w="85" w:type="dxa"/>
              <w:bottom w:w="80" w:type="dxa"/>
              <w:end w:w="85" w:type="dxa"/>
            </w:tcMar>
          </w:tcPr>
          <w:p>
            <w:pPr>
              <w:spacing w:before="0" w:after="0" w:line="264" w:lineRule="auto"/>
            </w:pPr>
            <w:r>
              <w:rPr>
                <w:rFonts w:ascii="Calibri" w:hAnsi="Calibri"/>
                <w:b/>
                <w:i w:val="0"/>
                <w:color w:val="2C3338"/>
                <w:sz w:val="16"/>
              </w:rPr>
              <w:t>A16</w:t>
            </w:r>
          </w:p>
        </w:tc>
        <w:tc>
          <w:tcPr>
            <w:tcW w:type="dxa" w:w="5488"/>
            <w:tcMar>
              <w:top w:w="80" w:type="dxa"/>
              <w:start w:w="85" w:type="dxa"/>
              <w:bottom w:w="80" w:type="dxa"/>
              <w:end w:w="85" w:type="dxa"/>
            </w:tcMar>
          </w:tcPr>
          <w:p>
            <w:pPr>
              <w:spacing w:before="0" w:after="0" w:line="264" w:lineRule="auto"/>
            </w:pPr>
            <w:r>
              <w:rPr>
                <w:rFonts w:ascii="Calibri" w:hAnsi="Calibri"/>
                <w:b w:val="0"/>
                <w:i w:val="0"/>
                <w:color w:val="4B4F58"/>
                <w:sz w:val="16"/>
              </w:rPr>
              <w:t>Describe location data provenance: what fields record measurement validity and source, and how stale positions are prevented from appearing as current.</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A17</w:t>
            </w:r>
          </w:p>
        </w:tc>
        <w:tc>
          <w:tcPr>
            <w:tcW w:type="dxa" w:w="548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Confirm whether you use any of our data for your own purposes, including product development, benchmarking or model training, and on what basis.</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noWrap/>
            <w:tcMar>
              <w:top w:w="80" w:type="dxa"/>
              <w:start w:w="85" w:type="dxa"/>
              <w:bottom w:w="80" w:type="dxa"/>
              <w:end w:w="85" w:type="dxa"/>
            </w:tcMar>
          </w:tcPr>
          <w:p>
            <w:pPr>
              <w:spacing w:before="0" w:after="0" w:line="264" w:lineRule="auto"/>
            </w:pPr>
            <w:r>
              <w:rPr>
                <w:rFonts w:ascii="Calibri" w:hAnsi="Calibri"/>
                <w:b/>
                <w:i w:val="0"/>
                <w:color w:val="2C3338"/>
                <w:sz w:val="16"/>
              </w:rPr>
              <w:t>A18</w:t>
            </w:r>
          </w:p>
        </w:tc>
        <w:tc>
          <w:tcPr>
            <w:tcW w:type="dxa" w:w="5488"/>
            <w:tcMar>
              <w:top w:w="80" w:type="dxa"/>
              <w:start w:w="85" w:type="dxa"/>
              <w:bottom w:w="80" w:type="dxa"/>
              <w:end w:w="85" w:type="dxa"/>
            </w:tcMar>
          </w:tcPr>
          <w:p>
            <w:pPr>
              <w:spacing w:before="0" w:after="0" w:line="264" w:lineRule="auto"/>
            </w:pPr>
            <w:r>
              <w:rPr>
                <w:rFonts w:ascii="Calibri" w:hAnsi="Calibri"/>
                <w:b w:val="0"/>
                <w:i w:val="0"/>
                <w:color w:val="4B4F58"/>
                <w:sz w:val="16"/>
              </w:rPr>
              <w:t>Describe your assistance with rights requests, including the position where no identifier is held, and your response times.</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shd w:val="clear" w:color="auto" w:fill="F7F8FA"/>
            <w:noWrap/>
            <w:tcMar>
              <w:top w:w="80" w:type="dxa"/>
              <w:start w:w="85" w:type="dxa"/>
              <w:bottom w:w="80" w:type="dxa"/>
              <w:end w:w="85" w:type="dxa"/>
            </w:tcMar>
          </w:tcPr>
          <w:p>
            <w:pPr>
              <w:spacing w:before="0" w:after="0" w:line="264" w:lineRule="auto"/>
            </w:pPr>
            <w:r>
              <w:rPr>
                <w:rFonts w:ascii="Calibri" w:hAnsi="Calibri"/>
                <w:b/>
                <w:i w:val="0"/>
                <w:color w:val="2C3338"/>
                <w:sz w:val="16"/>
              </w:rPr>
              <w:t>A19</w:t>
            </w:r>
          </w:p>
        </w:tc>
        <w:tc>
          <w:tcPr>
            <w:tcW w:type="dxa" w:w="5488"/>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Describe exit arrangements: data return format, deletion timetable and evidence, and transition support.</w:t>
            </w:r>
          </w:p>
        </w:tc>
        <w:tc>
          <w:tcPr>
            <w:tcW w:type="dxa" w:w="3991"/>
            <w:shd w:val="clear" w:color="auto" w:fill="F2F6FA"/>
            <w:tcMar>
              <w:top w:w="80" w:type="dxa"/>
              <w:start w:w="85" w:type="dxa"/>
              <w:bottom w:w="80" w:type="dxa"/>
              <w:end w:w="85" w:type="dxa"/>
            </w:tcMar>
          </w:tcPr>
          <w:p>
            <w:pPr>
              <w:spacing w:before="0" w:after="0" w:line="264" w:lineRule="auto"/>
            </w:pPr>
          </w:p>
        </w:tc>
      </w:tr>
      <w:tr>
        <w:tc>
          <w:tcPr>
            <w:tcW w:type="dxa" w:w="499"/>
            <w:noWrap/>
            <w:tcMar>
              <w:top w:w="80" w:type="dxa"/>
              <w:start w:w="85" w:type="dxa"/>
              <w:bottom w:w="80" w:type="dxa"/>
              <w:end w:w="85" w:type="dxa"/>
            </w:tcMar>
          </w:tcPr>
          <w:p>
            <w:pPr>
              <w:spacing w:before="0" w:after="0" w:line="264" w:lineRule="auto"/>
            </w:pPr>
            <w:r>
              <w:rPr>
                <w:rFonts w:ascii="Calibri" w:hAnsi="Calibri"/>
                <w:b/>
                <w:i w:val="0"/>
                <w:color w:val="2C3338"/>
                <w:sz w:val="16"/>
              </w:rPr>
              <w:t>A20</w:t>
            </w:r>
          </w:p>
        </w:tc>
        <w:tc>
          <w:tcPr>
            <w:tcW w:type="dxa" w:w="5488"/>
            <w:tcMar>
              <w:top w:w="80" w:type="dxa"/>
              <w:start w:w="85" w:type="dxa"/>
              <w:bottom w:w="80" w:type="dxa"/>
              <w:end w:w="85" w:type="dxa"/>
            </w:tcMar>
          </w:tcPr>
          <w:p>
            <w:pPr>
              <w:spacing w:before="0" w:after="0" w:line="264" w:lineRule="auto"/>
            </w:pPr>
            <w:r>
              <w:rPr>
                <w:rFonts w:ascii="Calibri" w:hAnsi="Calibri"/>
                <w:b w:val="0"/>
                <w:i w:val="0"/>
                <w:color w:val="4B4F58"/>
                <w:sz w:val="16"/>
              </w:rPr>
              <w:t>List any features that are pilot-stage, in development or not yet validated in a moving vehicle, and state what would be required before we could rely on them.</w:t>
            </w:r>
          </w:p>
        </w:tc>
        <w:tc>
          <w:tcPr>
            <w:tcW w:type="dxa" w:w="3991"/>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tbl>
      <w:tblPr>
        <w:tblW w:type="auto" w:w="0"/>
        <w:jc w:val="left"/>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9978"/>
      </w:tblGrid>
      <w:tr>
        <w:trPr>
          <w:cantSplit/>
        </w:trPr>
        <w:tc>
          <w:tcPr>
            <w:tcW w:type="dxa" w:w="9978"/>
            <w:shd w:val="clear" w:color="auto" w:fill="03273F"/>
            <w:tcMar>
              <w:top w:w="150" w:type="dxa"/>
              <w:start w:w="170" w:type="dxa"/>
              <w:bottom w:w="150" w:type="dxa"/>
              <w:end w:w="170" w:type="dxa"/>
            </w:tcMar>
          </w:tcPr>
          <w:p>
            <w:pPr>
              <w:keepNext/>
              <w:spacing w:before="0" w:after="0" w:line="264" w:lineRule="auto"/>
            </w:pPr>
            <w:r>
              <w:rPr>
                <w:rFonts w:ascii="Calibri" w:hAnsi="Calibri"/>
                <w:b/>
                <w:color w:val="FFFFFF"/>
                <w:sz w:val="30"/>
              </w:rPr>
              <w:t>Annex B — Retention schedule template</w:t>
            </w:r>
          </w:p>
        </w:tc>
      </w:tr>
    </w:tbl>
    <w:p>
      <w:pPr>
        <w:keepNext/>
        <w:spacing w:before="0" w:after="60" w:line="240" w:lineRule="auto"/>
      </w:pPr>
    </w:p>
    <w:p>
      <w:pPr>
        <w:spacing w:before="0" w:after="100" w:line="283" w:lineRule="auto"/>
      </w:pPr>
      <w:r>
        <w:rPr>
          <w:rFonts w:ascii="Calibri" w:hAnsi="Calibri"/>
          <w:b w:val="0"/>
          <w:i w:val="0"/>
          <w:color w:val="4B4F58"/>
          <w:sz w:val="19"/>
        </w:rPr>
        <w:t>Complete one row per data class. The justification must connect the period to the purpose in Step 2.1; "in case it is useful" is not a justification. Where the platform cannot enforce a period automatically, record the manual control and who performs it.</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1996"/>
        <w:gridCol w:w="1098"/>
        <w:gridCol w:w="2195"/>
        <w:gridCol w:w="1696"/>
        <w:gridCol w:w="1596"/>
        <w:gridCol w:w="1397"/>
      </w:tblGrid>
      <w:tr>
        <w:trPr>
          <w:tblHeader w:val="true"/>
        </w:trPr>
        <w:tc>
          <w:tcPr>
            <w:tcW w:type="dxa" w:w="1996"/>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Data class</w:t>
            </w:r>
          </w:p>
        </w:tc>
        <w:tc>
          <w:tcPr>
            <w:tcW w:type="dxa" w:w="1098"/>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Retention period</w:t>
            </w:r>
          </w:p>
        </w:tc>
        <w:tc>
          <w:tcPr>
            <w:tcW w:type="dxa" w:w="2195"/>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Justification linked to purpose</w:t>
            </w:r>
          </w:p>
        </w:tc>
        <w:tc>
          <w:tcPr>
            <w:tcW w:type="dxa" w:w="1696"/>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Deletion method</w:t>
            </w:r>
          </w:p>
        </w:tc>
        <w:tc>
          <w:tcPr>
            <w:tcW w:type="dxa" w:w="1596"/>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Automated or manual</w:t>
            </w:r>
          </w:p>
        </w:tc>
        <w:tc>
          <w:tcPr>
            <w:tcW w:type="dxa" w:w="1397"/>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Owner</w:t>
            </w:r>
          </w:p>
        </w:tc>
      </w:tr>
      <w:tr>
        <w:tc>
          <w:tcPr>
            <w:tcW w:type="dxa" w:w="1996"/>
            <w:tcMar>
              <w:top w:w="80" w:type="dxa"/>
              <w:start w:w="85" w:type="dxa"/>
              <w:bottom w:w="80" w:type="dxa"/>
              <w:end w:w="85" w:type="dxa"/>
            </w:tcMar>
          </w:tcPr>
          <w:p>
            <w:pPr>
              <w:spacing w:before="0" w:after="0" w:line="264" w:lineRule="auto"/>
            </w:pPr>
            <w:r>
              <w:rPr>
                <w:rFonts w:ascii="Calibri" w:hAnsi="Calibri"/>
                <w:b/>
                <w:i w:val="0"/>
                <w:color w:val="2C3338"/>
                <w:sz w:val="16"/>
              </w:rPr>
              <w:t>Raw per-event count messages</w:t>
            </w:r>
          </w:p>
        </w:tc>
        <w:tc>
          <w:tcPr>
            <w:tcW w:type="dxa" w:w="1098"/>
            <w:shd w:val="clear" w:color="auto" w:fill="F2F6FA"/>
            <w:tcMar>
              <w:top w:w="80" w:type="dxa"/>
              <w:start w:w="85" w:type="dxa"/>
              <w:bottom w:w="80" w:type="dxa"/>
              <w:end w:w="85" w:type="dxa"/>
            </w:tcMar>
          </w:tcPr>
          <w:p>
            <w:pPr>
              <w:spacing w:before="0" w:after="0" w:line="264" w:lineRule="auto"/>
            </w:pPr>
          </w:p>
        </w:tc>
        <w:tc>
          <w:tcPr>
            <w:tcW w:type="dxa" w:w="2195"/>
            <w:shd w:val="clear" w:color="auto" w:fill="F2F6FA"/>
            <w:tcMar>
              <w:top w:w="80" w:type="dxa"/>
              <w:start w:w="85" w:type="dxa"/>
              <w:bottom w:w="80" w:type="dxa"/>
              <w:end w:w="85" w:type="dxa"/>
            </w:tcMar>
          </w:tcPr>
          <w:p>
            <w:pPr>
              <w:spacing w:before="0" w:after="0" w:line="264" w:lineRule="auto"/>
            </w:pPr>
          </w:p>
        </w:tc>
        <w:tc>
          <w:tcPr>
            <w:tcW w:type="dxa" w:w="1696"/>
            <w:shd w:val="clear" w:color="auto" w:fill="F2F6FA"/>
            <w:tcMar>
              <w:top w:w="80" w:type="dxa"/>
              <w:start w:w="85" w:type="dxa"/>
              <w:bottom w:w="80" w:type="dxa"/>
              <w:end w:w="85" w:type="dxa"/>
            </w:tcMar>
          </w:tcPr>
          <w:p>
            <w:pPr>
              <w:spacing w:before="0" w:after="0" w:line="264" w:lineRule="auto"/>
            </w:pPr>
          </w:p>
        </w:tc>
        <w:tc>
          <w:tcPr>
            <w:tcW w:type="dxa" w:w="1596"/>
            <w:shd w:val="clear" w:color="auto" w:fill="F2F6FA"/>
            <w:tcMar>
              <w:top w:w="80" w:type="dxa"/>
              <w:start w:w="85" w:type="dxa"/>
              <w:bottom w:w="80" w:type="dxa"/>
              <w:end w:w="85" w:type="dxa"/>
            </w:tcMar>
          </w:tcPr>
          <w:p>
            <w:pPr>
              <w:spacing w:before="0" w:after="0" w:line="264" w:lineRule="auto"/>
            </w:pPr>
          </w:p>
        </w:tc>
        <w:tc>
          <w:tcPr>
            <w:tcW w:type="dxa" w:w="1397"/>
            <w:shd w:val="clear" w:color="auto" w:fill="F2F6FA"/>
            <w:tcMar>
              <w:top w:w="80" w:type="dxa"/>
              <w:start w:w="85" w:type="dxa"/>
              <w:bottom w:w="80" w:type="dxa"/>
              <w:end w:w="85" w:type="dxa"/>
            </w:tcMar>
          </w:tcPr>
          <w:p>
            <w:pPr>
              <w:spacing w:before="0" w:after="0" w:line="264" w:lineRule="auto"/>
            </w:pPr>
          </w:p>
        </w:tc>
      </w:tr>
      <w:tr>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Normalised count records</w:t>
            </w:r>
          </w:p>
        </w:tc>
        <w:tc>
          <w:tcPr>
            <w:tcW w:type="dxa" w:w="1098"/>
            <w:shd w:val="clear" w:color="auto" w:fill="F2F6FA"/>
            <w:tcMar>
              <w:top w:w="80" w:type="dxa"/>
              <w:start w:w="85" w:type="dxa"/>
              <w:bottom w:w="80" w:type="dxa"/>
              <w:end w:w="85" w:type="dxa"/>
            </w:tcMar>
          </w:tcPr>
          <w:p>
            <w:pPr>
              <w:spacing w:before="0" w:after="0" w:line="264" w:lineRule="auto"/>
            </w:pPr>
          </w:p>
        </w:tc>
        <w:tc>
          <w:tcPr>
            <w:tcW w:type="dxa" w:w="2195"/>
            <w:shd w:val="clear" w:color="auto" w:fill="F2F6FA"/>
            <w:tcMar>
              <w:top w:w="80" w:type="dxa"/>
              <w:start w:w="85" w:type="dxa"/>
              <w:bottom w:w="80" w:type="dxa"/>
              <w:end w:w="85" w:type="dxa"/>
            </w:tcMar>
          </w:tcPr>
          <w:p>
            <w:pPr>
              <w:spacing w:before="0" w:after="0" w:line="264" w:lineRule="auto"/>
            </w:pPr>
          </w:p>
        </w:tc>
        <w:tc>
          <w:tcPr>
            <w:tcW w:type="dxa" w:w="1696"/>
            <w:shd w:val="clear" w:color="auto" w:fill="F2F6FA"/>
            <w:tcMar>
              <w:top w:w="80" w:type="dxa"/>
              <w:start w:w="85" w:type="dxa"/>
              <w:bottom w:w="80" w:type="dxa"/>
              <w:end w:w="85" w:type="dxa"/>
            </w:tcMar>
          </w:tcPr>
          <w:p>
            <w:pPr>
              <w:spacing w:before="0" w:after="0" w:line="264" w:lineRule="auto"/>
            </w:pPr>
          </w:p>
        </w:tc>
        <w:tc>
          <w:tcPr>
            <w:tcW w:type="dxa" w:w="1596"/>
            <w:shd w:val="clear" w:color="auto" w:fill="F2F6FA"/>
            <w:tcMar>
              <w:top w:w="80" w:type="dxa"/>
              <w:start w:w="85" w:type="dxa"/>
              <w:bottom w:w="80" w:type="dxa"/>
              <w:end w:w="85" w:type="dxa"/>
            </w:tcMar>
          </w:tcPr>
          <w:p>
            <w:pPr>
              <w:spacing w:before="0" w:after="0" w:line="264" w:lineRule="auto"/>
            </w:pPr>
          </w:p>
        </w:tc>
        <w:tc>
          <w:tcPr>
            <w:tcW w:type="dxa" w:w="1397"/>
            <w:shd w:val="clear" w:color="auto" w:fill="F2F6FA"/>
            <w:tcMar>
              <w:top w:w="80" w:type="dxa"/>
              <w:start w:w="85" w:type="dxa"/>
              <w:bottom w:w="80" w:type="dxa"/>
              <w:end w:w="85" w:type="dxa"/>
            </w:tcMar>
          </w:tcPr>
          <w:p>
            <w:pPr>
              <w:spacing w:before="0" w:after="0" w:line="264" w:lineRule="auto"/>
            </w:pPr>
          </w:p>
        </w:tc>
      </w:tr>
      <w:tr>
        <w:tc>
          <w:tcPr>
            <w:tcW w:type="dxa" w:w="1996"/>
            <w:tcMar>
              <w:top w:w="80" w:type="dxa"/>
              <w:start w:w="85" w:type="dxa"/>
              <w:bottom w:w="80" w:type="dxa"/>
              <w:end w:w="85" w:type="dxa"/>
            </w:tcMar>
          </w:tcPr>
          <w:p>
            <w:pPr>
              <w:spacing w:before="0" w:after="0" w:line="264" w:lineRule="auto"/>
            </w:pPr>
            <w:r>
              <w:rPr>
                <w:rFonts w:ascii="Calibri" w:hAnsi="Calibri"/>
                <w:b/>
                <w:i w:val="0"/>
                <w:color w:val="2C3338"/>
                <w:sz w:val="16"/>
              </w:rPr>
              <w:t>Aggregated counts by stop and hour</w:t>
            </w:r>
          </w:p>
        </w:tc>
        <w:tc>
          <w:tcPr>
            <w:tcW w:type="dxa" w:w="1098"/>
            <w:shd w:val="clear" w:color="auto" w:fill="F2F6FA"/>
            <w:tcMar>
              <w:top w:w="80" w:type="dxa"/>
              <w:start w:w="85" w:type="dxa"/>
              <w:bottom w:w="80" w:type="dxa"/>
              <w:end w:w="85" w:type="dxa"/>
            </w:tcMar>
          </w:tcPr>
          <w:p>
            <w:pPr>
              <w:spacing w:before="0" w:after="0" w:line="264" w:lineRule="auto"/>
            </w:pPr>
          </w:p>
        </w:tc>
        <w:tc>
          <w:tcPr>
            <w:tcW w:type="dxa" w:w="2195"/>
            <w:shd w:val="clear" w:color="auto" w:fill="F2F6FA"/>
            <w:tcMar>
              <w:top w:w="80" w:type="dxa"/>
              <w:start w:w="85" w:type="dxa"/>
              <w:bottom w:w="80" w:type="dxa"/>
              <w:end w:w="85" w:type="dxa"/>
            </w:tcMar>
          </w:tcPr>
          <w:p>
            <w:pPr>
              <w:spacing w:before="0" w:after="0" w:line="264" w:lineRule="auto"/>
            </w:pPr>
          </w:p>
        </w:tc>
        <w:tc>
          <w:tcPr>
            <w:tcW w:type="dxa" w:w="1696"/>
            <w:shd w:val="clear" w:color="auto" w:fill="F2F6FA"/>
            <w:tcMar>
              <w:top w:w="80" w:type="dxa"/>
              <w:start w:w="85" w:type="dxa"/>
              <w:bottom w:w="80" w:type="dxa"/>
              <w:end w:w="85" w:type="dxa"/>
            </w:tcMar>
          </w:tcPr>
          <w:p>
            <w:pPr>
              <w:spacing w:before="0" w:after="0" w:line="264" w:lineRule="auto"/>
            </w:pPr>
          </w:p>
        </w:tc>
        <w:tc>
          <w:tcPr>
            <w:tcW w:type="dxa" w:w="1596"/>
            <w:shd w:val="clear" w:color="auto" w:fill="F2F6FA"/>
            <w:tcMar>
              <w:top w:w="80" w:type="dxa"/>
              <w:start w:w="85" w:type="dxa"/>
              <w:bottom w:w="80" w:type="dxa"/>
              <w:end w:w="85" w:type="dxa"/>
            </w:tcMar>
          </w:tcPr>
          <w:p>
            <w:pPr>
              <w:spacing w:before="0" w:after="0" w:line="264" w:lineRule="auto"/>
            </w:pPr>
          </w:p>
        </w:tc>
        <w:tc>
          <w:tcPr>
            <w:tcW w:type="dxa" w:w="1397"/>
            <w:shd w:val="clear" w:color="auto" w:fill="F2F6FA"/>
            <w:tcMar>
              <w:top w:w="80" w:type="dxa"/>
              <w:start w:w="85" w:type="dxa"/>
              <w:bottom w:w="80" w:type="dxa"/>
              <w:end w:w="85" w:type="dxa"/>
            </w:tcMar>
          </w:tcPr>
          <w:p>
            <w:pPr>
              <w:spacing w:before="0" w:after="0" w:line="264" w:lineRule="auto"/>
            </w:pPr>
          </w:p>
        </w:tc>
      </w:tr>
      <w:tr>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Occupancy and dwell derivations</w:t>
            </w:r>
          </w:p>
        </w:tc>
        <w:tc>
          <w:tcPr>
            <w:tcW w:type="dxa" w:w="1098"/>
            <w:shd w:val="clear" w:color="auto" w:fill="F2F6FA"/>
            <w:tcMar>
              <w:top w:w="80" w:type="dxa"/>
              <w:start w:w="85" w:type="dxa"/>
              <w:bottom w:w="80" w:type="dxa"/>
              <w:end w:w="85" w:type="dxa"/>
            </w:tcMar>
          </w:tcPr>
          <w:p>
            <w:pPr>
              <w:spacing w:before="0" w:after="0" w:line="264" w:lineRule="auto"/>
            </w:pPr>
          </w:p>
        </w:tc>
        <w:tc>
          <w:tcPr>
            <w:tcW w:type="dxa" w:w="2195"/>
            <w:shd w:val="clear" w:color="auto" w:fill="F2F6FA"/>
            <w:tcMar>
              <w:top w:w="80" w:type="dxa"/>
              <w:start w:w="85" w:type="dxa"/>
              <w:bottom w:w="80" w:type="dxa"/>
              <w:end w:w="85" w:type="dxa"/>
            </w:tcMar>
          </w:tcPr>
          <w:p>
            <w:pPr>
              <w:spacing w:before="0" w:after="0" w:line="264" w:lineRule="auto"/>
            </w:pPr>
          </w:p>
        </w:tc>
        <w:tc>
          <w:tcPr>
            <w:tcW w:type="dxa" w:w="1696"/>
            <w:shd w:val="clear" w:color="auto" w:fill="F2F6FA"/>
            <w:tcMar>
              <w:top w:w="80" w:type="dxa"/>
              <w:start w:w="85" w:type="dxa"/>
              <w:bottom w:w="80" w:type="dxa"/>
              <w:end w:w="85" w:type="dxa"/>
            </w:tcMar>
          </w:tcPr>
          <w:p>
            <w:pPr>
              <w:spacing w:before="0" w:after="0" w:line="264" w:lineRule="auto"/>
            </w:pPr>
          </w:p>
        </w:tc>
        <w:tc>
          <w:tcPr>
            <w:tcW w:type="dxa" w:w="1596"/>
            <w:shd w:val="clear" w:color="auto" w:fill="F2F6FA"/>
            <w:tcMar>
              <w:top w:w="80" w:type="dxa"/>
              <w:start w:w="85" w:type="dxa"/>
              <w:bottom w:w="80" w:type="dxa"/>
              <w:end w:w="85" w:type="dxa"/>
            </w:tcMar>
          </w:tcPr>
          <w:p>
            <w:pPr>
              <w:spacing w:before="0" w:after="0" w:line="264" w:lineRule="auto"/>
            </w:pPr>
          </w:p>
        </w:tc>
        <w:tc>
          <w:tcPr>
            <w:tcW w:type="dxa" w:w="1397"/>
            <w:shd w:val="clear" w:color="auto" w:fill="F2F6FA"/>
            <w:tcMar>
              <w:top w:w="80" w:type="dxa"/>
              <w:start w:w="85" w:type="dxa"/>
              <w:bottom w:w="80" w:type="dxa"/>
              <w:end w:w="85" w:type="dxa"/>
            </w:tcMar>
          </w:tcPr>
          <w:p>
            <w:pPr>
              <w:spacing w:before="0" w:after="0" w:line="264" w:lineRule="auto"/>
            </w:pPr>
          </w:p>
        </w:tc>
      </w:tr>
      <w:tr>
        <w:tc>
          <w:tcPr>
            <w:tcW w:type="dxa" w:w="1996"/>
            <w:tcMar>
              <w:top w:w="80" w:type="dxa"/>
              <w:start w:w="85" w:type="dxa"/>
              <w:bottom w:w="80" w:type="dxa"/>
              <w:end w:w="85" w:type="dxa"/>
            </w:tcMar>
          </w:tcPr>
          <w:p>
            <w:pPr>
              <w:spacing w:before="0" w:after="0" w:line="264" w:lineRule="auto"/>
            </w:pPr>
            <w:r>
              <w:rPr>
                <w:rFonts w:ascii="Calibri" w:hAnsi="Calibri"/>
                <w:b/>
                <w:i w:val="0"/>
                <w:color w:val="2C3338"/>
                <w:sz w:val="16"/>
              </w:rPr>
              <w:t>Vehicle location records and provenance fields</w:t>
            </w:r>
          </w:p>
        </w:tc>
        <w:tc>
          <w:tcPr>
            <w:tcW w:type="dxa" w:w="1098"/>
            <w:shd w:val="clear" w:color="auto" w:fill="F2F6FA"/>
            <w:tcMar>
              <w:top w:w="80" w:type="dxa"/>
              <w:start w:w="85" w:type="dxa"/>
              <w:bottom w:w="80" w:type="dxa"/>
              <w:end w:w="85" w:type="dxa"/>
            </w:tcMar>
          </w:tcPr>
          <w:p>
            <w:pPr>
              <w:spacing w:before="0" w:after="0" w:line="264" w:lineRule="auto"/>
            </w:pPr>
          </w:p>
        </w:tc>
        <w:tc>
          <w:tcPr>
            <w:tcW w:type="dxa" w:w="2195"/>
            <w:shd w:val="clear" w:color="auto" w:fill="F2F6FA"/>
            <w:tcMar>
              <w:top w:w="80" w:type="dxa"/>
              <w:start w:w="85" w:type="dxa"/>
              <w:bottom w:w="80" w:type="dxa"/>
              <w:end w:w="85" w:type="dxa"/>
            </w:tcMar>
          </w:tcPr>
          <w:p>
            <w:pPr>
              <w:spacing w:before="0" w:after="0" w:line="264" w:lineRule="auto"/>
            </w:pPr>
          </w:p>
        </w:tc>
        <w:tc>
          <w:tcPr>
            <w:tcW w:type="dxa" w:w="1696"/>
            <w:shd w:val="clear" w:color="auto" w:fill="F2F6FA"/>
            <w:tcMar>
              <w:top w:w="80" w:type="dxa"/>
              <w:start w:w="85" w:type="dxa"/>
              <w:bottom w:w="80" w:type="dxa"/>
              <w:end w:w="85" w:type="dxa"/>
            </w:tcMar>
          </w:tcPr>
          <w:p>
            <w:pPr>
              <w:spacing w:before="0" w:after="0" w:line="264" w:lineRule="auto"/>
            </w:pPr>
          </w:p>
        </w:tc>
        <w:tc>
          <w:tcPr>
            <w:tcW w:type="dxa" w:w="1596"/>
            <w:shd w:val="clear" w:color="auto" w:fill="F2F6FA"/>
            <w:tcMar>
              <w:top w:w="80" w:type="dxa"/>
              <w:start w:w="85" w:type="dxa"/>
              <w:bottom w:w="80" w:type="dxa"/>
              <w:end w:w="85" w:type="dxa"/>
            </w:tcMar>
          </w:tcPr>
          <w:p>
            <w:pPr>
              <w:spacing w:before="0" w:after="0" w:line="264" w:lineRule="auto"/>
            </w:pPr>
          </w:p>
        </w:tc>
        <w:tc>
          <w:tcPr>
            <w:tcW w:type="dxa" w:w="1397"/>
            <w:shd w:val="clear" w:color="auto" w:fill="F2F6FA"/>
            <w:tcMar>
              <w:top w:w="80" w:type="dxa"/>
              <w:start w:w="85" w:type="dxa"/>
              <w:bottom w:w="80" w:type="dxa"/>
              <w:end w:w="85" w:type="dxa"/>
            </w:tcMar>
          </w:tcPr>
          <w:p>
            <w:pPr>
              <w:spacing w:before="0" w:after="0" w:line="264" w:lineRule="auto"/>
            </w:pPr>
          </w:p>
        </w:tc>
      </w:tr>
      <w:tr>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Sensor-health and liveness records</w:t>
            </w:r>
          </w:p>
        </w:tc>
        <w:tc>
          <w:tcPr>
            <w:tcW w:type="dxa" w:w="1098"/>
            <w:shd w:val="clear" w:color="auto" w:fill="F2F6FA"/>
            <w:tcMar>
              <w:top w:w="80" w:type="dxa"/>
              <w:start w:w="85" w:type="dxa"/>
              <w:bottom w:w="80" w:type="dxa"/>
              <w:end w:w="85" w:type="dxa"/>
            </w:tcMar>
          </w:tcPr>
          <w:p>
            <w:pPr>
              <w:spacing w:before="0" w:after="0" w:line="264" w:lineRule="auto"/>
            </w:pPr>
          </w:p>
        </w:tc>
        <w:tc>
          <w:tcPr>
            <w:tcW w:type="dxa" w:w="2195"/>
            <w:shd w:val="clear" w:color="auto" w:fill="F2F6FA"/>
            <w:tcMar>
              <w:top w:w="80" w:type="dxa"/>
              <w:start w:w="85" w:type="dxa"/>
              <w:bottom w:w="80" w:type="dxa"/>
              <w:end w:w="85" w:type="dxa"/>
            </w:tcMar>
          </w:tcPr>
          <w:p>
            <w:pPr>
              <w:spacing w:before="0" w:after="0" w:line="264" w:lineRule="auto"/>
            </w:pPr>
          </w:p>
        </w:tc>
        <w:tc>
          <w:tcPr>
            <w:tcW w:type="dxa" w:w="1696"/>
            <w:shd w:val="clear" w:color="auto" w:fill="F2F6FA"/>
            <w:tcMar>
              <w:top w:w="80" w:type="dxa"/>
              <w:start w:w="85" w:type="dxa"/>
              <w:bottom w:w="80" w:type="dxa"/>
              <w:end w:w="85" w:type="dxa"/>
            </w:tcMar>
          </w:tcPr>
          <w:p>
            <w:pPr>
              <w:spacing w:before="0" w:after="0" w:line="264" w:lineRule="auto"/>
            </w:pPr>
          </w:p>
        </w:tc>
        <w:tc>
          <w:tcPr>
            <w:tcW w:type="dxa" w:w="1596"/>
            <w:shd w:val="clear" w:color="auto" w:fill="F2F6FA"/>
            <w:tcMar>
              <w:top w:w="80" w:type="dxa"/>
              <w:start w:w="85" w:type="dxa"/>
              <w:bottom w:w="80" w:type="dxa"/>
              <w:end w:w="85" w:type="dxa"/>
            </w:tcMar>
          </w:tcPr>
          <w:p>
            <w:pPr>
              <w:spacing w:before="0" w:after="0" w:line="264" w:lineRule="auto"/>
            </w:pPr>
          </w:p>
        </w:tc>
        <w:tc>
          <w:tcPr>
            <w:tcW w:type="dxa" w:w="1397"/>
            <w:shd w:val="clear" w:color="auto" w:fill="F2F6FA"/>
            <w:tcMar>
              <w:top w:w="80" w:type="dxa"/>
              <w:start w:w="85" w:type="dxa"/>
              <w:bottom w:w="80" w:type="dxa"/>
              <w:end w:w="85" w:type="dxa"/>
            </w:tcMar>
          </w:tcPr>
          <w:p>
            <w:pPr>
              <w:spacing w:before="0" w:after="0" w:line="264" w:lineRule="auto"/>
            </w:pPr>
          </w:p>
        </w:tc>
      </w:tr>
      <w:tr>
        <w:tc>
          <w:tcPr>
            <w:tcW w:type="dxa" w:w="1996"/>
            <w:tcMar>
              <w:top w:w="80" w:type="dxa"/>
              <w:start w:w="85" w:type="dxa"/>
              <w:bottom w:w="80" w:type="dxa"/>
              <w:end w:w="85" w:type="dxa"/>
            </w:tcMar>
          </w:tcPr>
          <w:p>
            <w:pPr>
              <w:spacing w:before="0" w:after="0" w:line="264" w:lineRule="auto"/>
            </w:pPr>
            <w:r>
              <w:rPr>
                <w:rFonts w:ascii="Calibri" w:hAnsi="Calibri"/>
                <w:b/>
                <w:i w:val="0"/>
                <w:color w:val="2C3338"/>
                <w:sz w:val="16"/>
              </w:rPr>
              <w:t>Welfare event records</w:t>
            </w:r>
          </w:p>
        </w:tc>
        <w:tc>
          <w:tcPr>
            <w:tcW w:type="dxa" w:w="1098"/>
            <w:shd w:val="clear" w:color="auto" w:fill="F2F6FA"/>
            <w:tcMar>
              <w:top w:w="80" w:type="dxa"/>
              <w:start w:w="85" w:type="dxa"/>
              <w:bottom w:w="80" w:type="dxa"/>
              <w:end w:w="85" w:type="dxa"/>
            </w:tcMar>
          </w:tcPr>
          <w:p>
            <w:pPr>
              <w:spacing w:before="0" w:after="0" w:line="264" w:lineRule="auto"/>
            </w:pPr>
          </w:p>
        </w:tc>
        <w:tc>
          <w:tcPr>
            <w:tcW w:type="dxa" w:w="2195"/>
            <w:shd w:val="clear" w:color="auto" w:fill="F2F6FA"/>
            <w:tcMar>
              <w:top w:w="80" w:type="dxa"/>
              <w:start w:w="85" w:type="dxa"/>
              <w:bottom w:w="80" w:type="dxa"/>
              <w:end w:w="85" w:type="dxa"/>
            </w:tcMar>
          </w:tcPr>
          <w:p>
            <w:pPr>
              <w:spacing w:before="0" w:after="0" w:line="264" w:lineRule="auto"/>
            </w:pPr>
          </w:p>
        </w:tc>
        <w:tc>
          <w:tcPr>
            <w:tcW w:type="dxa" w:w="1696"/>
            <w:shd w:val="clear" w:color="auto" w:fill="F2F6FA"/>
            <w:tcMar>
              <w:top w:w="80" w:type="dxa"/>
              <w:start w:w="85" w:type="dxa"/>
              <w:bottom w:w="80" w:type="dxa"/>
              <w:end w:w="85" w:type="dxa"/>
            </w:tcMar>
          </w:tcPr>
          <w:p>
            <w:pPr>
              <w:spacing w:before="0" w:after="0" w:line="264" w:lineRule="auto"/>
            </w:pPr>
          </w:p>
        </w:tc>
        <w:tc>
          <w:tcPr>
            <w:tcW w:type="dxa" w:w="1596"/>
            <w:shd w:val="clear" w:color="auto" w:fill="F2F6FA"/>
            <w:tcMar>
              <w:top w:w="80" w:type="dxa"/>
              <w:start w:w="85" w:type="dxa"/>
              <w:bottom w:w="80" w:type="dxa"/>
              <w:end w:w="85" w:type="dxa"/>
            </w:tcMar>
          </w:tcPr>
          <w:p>
            <w:pPr>
              <w:spacing w:before="0" w:after="0" w:line="264" w:lineRule="auto"/>
            </w:pPr>
          </w:p>
        </w:tc>
        <w:tc>
          <w:tcPr>
            <w:tcW w:type="dxa" w:w="1397"/>
            <w:shd w:val="clear" w:color="auto" w:fill="F2F6FA"/>
            <w:tcMar>
              <w:top w:w="80" w:type="dxa"/>
              <w:start w:w="85" w:type="dxa"/>
              <w:bottom w:w="80" w:type="dxa"/>
              <w:end w:w="85" w:type="dxa"/>
            </w:tcMar>
          </w:tcPr>
          <w:p>
            <w:pPr>
              <w:spacing w:before="0" w:after="0" w:line="264" w:lineRule="auto"/>
            </w:pPr>
          </w:p>
        </w:tc>
      </w:tr>
      <w:tr>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On-board CCTV footage, where in scope</w:t>
            </w:r>
          </w:p>
        </w:tc>
        <w:tc>
          <w:tcPr>
            <w:tcW w:type="dxa" w:w="1098"/>
            <w:shd w:val="clear" w:color="auto" w:fill="F2F6FA"/>
            <w:tcMar>
              <w:top w:w="80" w:type="dxa"/>
              <w:start w:w="85" w:type="dxa"/>
              <w:bottom w:w="80" w:type="dxa"/>
              <w:end w:w="85" w:type="dxa"/>
            </w:tcMar>
          </w:tcPr>
          <w:p>
            <w:pPr>
              <w:spacing w:before="0" w:after="0" w:line="264" w:lineRule="auto"/>
            </w:pPr>
          </w:p>
        </w:tc>
        <w:tc>
          <w:tcPr>
            <w:tcW w:type="dxa" w:w="2195"/>
            <w:shd w:val="clear" w:color="auto" w:fill="F2F6FA"/>
            <w:tcMar>
              <w:top w:w="80" w:type="dxa"/>
              <w:start w:w="85" w:type="dxa"/>
              <w:bottom w:w="80" w:type="dxa"/>
              <w:end w:w="85" w:type="dxa"/>
            </w:tcMar>
          </w:tcPr>
          <w:p>
            <w:pPr>
              <w:spacing w:before="0" w:after="0" w:line="264" w:lineRule="auto"/>
            </w:pPr>
          </w:p>
        </w:tc>
        <w:tc>
          <w:tcPr>
            <w:tcW w:type="dxa" w:w="1696"/>
            <w:shd w:val="clear" w:color="auto" w:fill="F2F6FA"/>
            <w:tcMar>
              <w:top w:w="80" w:type="dxa"/>
              <w:start w:w="85" w:type="dxa"/>
              <w:bottom w:w="80" w:type="dxa"/>
              <w:end w:w="85" w:type="dxa"/>
            </w:tcMar>
          </w:tcPr>
          <w:p>
            <w:pPr>
              <w:spacing w:before="0" w:after="0" w:line="264" w:lineRule="auto"/>
            </w:pPr>
          </w:p>
        </w:tc>
        <w:tc>
          <w:tcPr>
            <w:tcW w:type="dxa" w:w="1596"/>
            <w:shd w:val="clear" w:color="auto" w:fill="F2F6FA"/>
            <w:tcMar>
              <w:top w:w="80" w:type="dxa"/>
              <w:start w:w="85" w:type="dxa"/>
              <w:bottom w:w="80" w:type="dxa"/>
              <w:end w:w="85" w:type="dxa"/>
            </w:tcMar>
          </w:tcPr>
          <w:p>
            <w:pPr>
              <w:spacing w:before="0" w:after="0" w:line="264" w:lineRule="auto"/>
            </w:pPr>
          </w:p>
        </w:tc>
        <w:tc>
          <w:tcPr>
            <w:tcW w:type="dxa" w:w="1397"/>
            <w:shd w:val="clear" w:color="auto" w:fill="F2F6FA"/>
            <w:tcMar>
              <w:top w:w="80" w:type="dxa"/>
              <w:start w:w="85" w:type="dxa"/>
              <w:bottom w:w="80" w:type="dxa"/>
              <w:end w:w="85" w:type="dxa"/>
            </w:tcMar>
          </w:tcPr>
          <w:p>
            <w:pPr>
              <w:spacing w:before="0" w:after="0" w:line="264" w:lineRule="auto"/>
            </w:pPr>
          </w:p>
        </w:tc>
      </w:tr>
      <w:tr>
        <w:tc>
          <w:tcPr>
            <w:tcW w:type="dxa" w:w="1996"/>
            <w:tcMar>
              <w:top w:w="80" w:type="dxa"/>
              <w:start w:w="85" w:type="dxa"/>
              <w:bottom w:w="80" w:type="dxa"/>
              <w:end w:w="85" w:type="dxa"/>
            </w:tcMar>
          </w:tcPr>
          <w:p>
            <w:pPr>
              <w:spacing w:before="0" w:after="0" w:line="264" w:lineRule="auto"/>
            </w:pPr>
            <w:r>
              <w:rPr>
                <w:rFonts w:ascii="Calibri" w:hAnsi="Calibri"/>
                <w:b/>
                <w:i w:val="0"/>
                <w:color w:val="2C3338"/>
                <w:sz w:val="16"/>
              </w:rPr>
              <w:t>Dashboard user accounts</w:t>
            </w:r>
          </w:p>
        </w:tc>
        <w:tc>
          <w:tcPr>
            <w:tcW w:type="dxa" w:w="1098"/>
            <w:shd w:val="clear" w:color="auto" w:fill="F2F6FA"/>
            <w:tcMar>
              <w:top w:w="80" w:type="dxa"/>
              <w:start w:w="85" w:type="dxa"/>
              <w:bottom w:w="80" w:type="dxa"/>
              <w:end w:w="85" w:type="dxa"/>
            </w:tcMar>
          </w:tcPr>
          <w:p>
            <w:pPr>
              <w:spacing w:before="0" w:after="0" w:line="264" w:lineRule="auto"/>
            </w:pPr>
          </w:p>
        </w:tc>
        <w:tc>
          <w:tcPr>
            <w:tcW w:type="dxa" w:w="2195"/>
            <w:shd w:val="clear" w:color="auto" w:fill="F2F6FA"/>
            <w:tcMar>
              <w:top w:w="80" w:type="dxa"/>
              <w:start w:w="85" w:type="dxa"/>
              <w:bottom w:w="80" w:type="dxa"/>
              <w:end w:w="85" w:type="dxa"/>
            </w:tcMar>
          </w:tcPr>
          <w:p>
            <w:pPr>
              <w:spacing w:before="0" w:after="0" w:line="264" w:lineRule="auto"/>
            </w:pPr>
          </w:p>
        </w:tc>
        <w:tc>
          <w:tcPr>
            <w:tcW w:type="dxa" w:w="1696"/>
            <w:shd w:val="clear" w:color="auto" w:fill="F2F6FA"/>
            <w:tcMar>
              <w:top w:w="80" w:type="dxa"/>
              <w:start w:w="85" w:type="dxa"/>
              <w:bottom w:w="80" w:type="dxa"/>
              <w:end w:w="85" w:type="dxa"/>
            </w:tcMar>
          </w:tcPr>
          <w:p>
            <w:pPr>
              <w:spacing w:before="0" w:after="0" w:line="264" w:lineRule="auto"/>
            </w:pPr>
          </w:p>
        </w:tc>
        <w:tc>
          <w:tcPr>
            <w:tcW w:type="dxa" w:w="1596"/>
            <w:shd w:val="clear" w:color="auto" w:fill="F2F6FA"/>
            <w:tcMar>
              <w:top w:w="80" w:type="dxa"/>
              <w:start w:w="85" w:type="dxa"/>
              <w:bottom w:w="80" w:type="dxa"/>
              <w:end w:w="85" w:type="dxa"/>
            </w:tcMar>
          </w:tcPr>
          <w:p>
            <w:pPr>
              <w:spacing w:before="0" w:after="0" w:line="264" w:lineRule="auto"/>
            </w:pPr>
          </w:p>
        </w:tc>
        <w:tc>
          <w:tcPr>
            <w:tcW w:type="dxa" w:w="1397"/>
            <w:shd w:val="clear" w:color="auto" w:fill="F2F6FA"/>
            <w:tcMar>
              <w:top w:w="80" w:type="dxa"/>
              <w:start w:w="85" w:type="dxa"/>
              <w:bottom w:w="80" w:type="dxa"/>
              <w:end w:w="85" w:type="dxa"/>
            </w:tcMar>
          </w:tcPr>
          <w:p>
            <w:pPr>
              <w:spacing w:before="0" w:after="0" w:line="264" w:lineRule="auto"/>
            </w:pPr>
          </w:p>
        </w:tc>
      </w:tr>
      <w:tr>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Access, login and audit logs</w:t>
            </w:r>
          </w:p>
        </w:tc>
        <w:tc>
          <w:tcPr>
            <w:tcW w:type="dxa" w:w="1098"/>
            <w:shd w:val="clear" w:color="auto" w:fill="F2F6FA"/>
            <w:tcMar>
              <w:top w:w="80" w:type="dxa"/>
              <w:start w:w="85" w:type="dxa"/>
              <w:bottom w:w="80" w:type="dxa"/>
              <w:end w:w="85" w:type="dxa"/>
            </w:tcMar>
          </w:tcPr>
          <w:p>
            <w:pPr>
              <w:spacing w:before="0" w:after="0" w:line="264" w:lineRule="auto"/>
            </w:pPr>
          </w:p>
        </w:tc>
        <w:tc>
          <w:tcPr>
            <w:tcW w:type="dxa" w:w="2195"/>
            <w:shd w:val="clear" w:color="auto" w:fill="F2F6FA"/>
            <w:tcMar>
              <w:top w:w="80" w:type="dxa"/>
              <w:start w:w="85" w:type="dxa"/>
              <w:bottom w:w="80" w:type="dxa"/>
              <w:end w:w="85" w:type="dxa"/>
            </w:tcMar>
          </w:tcPr>
          <w:p>
            <w:pPr>
              <w:spacing w:before="0" w:after="0" w:line="264" w:lineRule="auto"/>
            </w:pPr>
          </w:p>
        </w:tc>
        <w:tc>
          <w:tcPr>
            <w:tcW w:type="dxa" w:w="1696"/>
            <w:shd w:val="clear" w:color="auto" w:fill="F2F6FA"/>
            <w:tcMar>
              <w:top w:w="80" w:type="dxa"/>
              <w:start w:w="85" w:type="dxa"/>
              <w:bottom w:w="80" w:type="dxa"/>
              <w:end w:w="85" w:type="dxa"/>
            </w:tcMar>
          </w:tcPr>
          <w:p>
            <w:pPr>
              <w:spacing w:before="0" w:after="0" w:line="264" w:lineRule="auto"/>
            </w:pPr>
          </w:p>
        </w:tc>
        <w:tc>
          <w:tcPr>
            <w:tcW w:type="dxa" w:w="1596"/>
            <w:shd w:val="clear" w:color="auto" w:fill="F2F6FA"/>
            <w:tcMar>
              <w:top w:w="80" w:type="dxa"/>
              <w:start w:w="85" w:type="dxa"/>
              <w:bottom w:w="80" w:type="dxa"/>
              <w:end w:w="85" w:type="dxa"/>
            </w:tcMar>
          </w:tcPr>
          <w:p>
            <w:pPr>
              <w:spacing w:before="0" w:after="0" w:line="264" w:lineRule="auto"/>
            </w:pPr>
          </w:p>
        </w:tc>
        <w:tc>
          <w:tcPr>
            <w:tcW w:type="dxa" w:w="1397"/>
            <w:shd w:val="clear" w:color="auto" w:fill="F2F6FA"/>
            <w:tcMar>
              <w:top w:w="80" w:type="dxa"/>
              <w:start w:w="85" w:type="dxa"/>
              <w:bottom w:w="80" w:type="dxa"/>
              <w:end w:w="85" w:type="dxa"/>
            </w:tcMar>
          </w:tcPr>
          <w:p>
            <w:pPr>
              <w:spacing w:before="0" w:after="0" w:line="264" w:lineRule="auto"/>
            </w:pPr>
          </w:p>
        </w:tc>
      </w:tr>
      <w:tr>
        <w:tc>
          <w:tcPr>
            <w:tcW w:type="dxa" w:w="1996"/>
            <w:tcMar>
              <w:top w:w="80" w:type="dxa"/>
              <w:start w:w="85" w:type="dxa"/>
              <w:bottom w:w="80" w:type="dxa"/>
              <w:end w:w="85" w:type="dxa"/>
            </w:tcMar>
          </w:tcPr>
          <w:p>
            <w:pPr>
              <w:spacing w:before="0" w:after="0" w:line="264" w:lineRule="auto"/>
            </w:pPr>
            <w:r>
              <w:rPr>
                <w:rFonts w:ascii="Calibri" w:hAnsi="Calibri"/>
                <w:b/>
                <w:i w:val="0"/>
                <w:color w:val="2C3338"/>
                <w:sz w:val="16"/>
              </w:rPr>
              <w:t>Support and diagnostic logs held by the supplier</w:t>
            </w:r>
          </w:p>
        </w:tc>
        <w:tc>
          <w:tcPr>
            <w:tcW w:type="dxa" w:w="1098"/>
            <w:shd w:val="clear" w:color="auto" w:fill="F2F6FA"/>
            <w:tcMar>
              <w:top w:w="80" w:type="dxa"/>
              <w:start w:w="85" w:type="dxa"/>
              <w:bottom w:w="80" w:type="dxa"/>
              <w:end w:w="85" w:type="dxa"/>
            </w:tcMar>
          </w:tcPr>
          <w:p>
            <w:pPr>
              <w:spacing w:before="0" w:after="0" w:line="264" w:lineRule="auto"/>
            </w:pPr>
          </w:p>
        </w:tc>
        <w:tc>
          <w:tcPr>
            <w:tcW w:type="dxa" w:w="2195"/>
            <w:shd w:val="clear" w:color="auto" w:fill="F2F6FA"/>
            <w:tcMar>
              <w:top w:w="80" w:type="dxa"/>
              <w:start w:w="85" w:type="dxa"/>
              <w:bottom w:w="80" w:type="dxa"/>
              <w:end w:w="85" w:type="dxa"/>
            </w:tcMar>
          </w:tcPr>
          <w:p>
            <w:pPr>
              <w:spacing w:before="0" w:after="0" w:line="264" w:lineRule="auto"/>
            </w:pPr>
          </w:p>
        </w:tc>
        <w:tc>
          <w:tcPr>
            <w:tcW w:type="dxa" w:w="1696"/>
            <w:shd w:val="clear" w:color="auto" w:fill="F2F6FA"/>
            <w:tcMar>
              <w:top w:w="80" w:type="dxa"/>
              <w:start w:w="85" w:type="dxa"/>
              <w:bottom w:w="80" w:type="dxa"/>
              <w:end w:w="85" w:type="dxa"/>
            </w:tcMar>
          </w:tcPr>
          <w:p>
            <w:pPr>
              <w:spacing w:before="0" w:after="0" w:line="264" w:lineRule="auto"/>
            </w:pPr>
          </w:p>
        </w:tc>
        <w:tc>
          <w:tcPr>
            <w:tcW w:type="dxa" w:w="1596"/>
            <w:shd w:val="clear" w:color="auto" w:fill="F2F6FA"/>
            <w:tcMar>
              <w:top w:w="80" w:type="dxa"/>
              <w:start w:w="85" w:type="dxa"/>
              <w:bottom w:w="80" w:type="dxa"/>
              <w:end w:w="85" w:type="dxa"/>
            </w:tcMar>
          </w:tcPr>
          <w:p>
            <w:pPr>
              <w:spacing w:before="0" w:after="0" w:line="264" w:lineRule="auto"/>
            </w:pPr>
          </w:p>
        </w:tc>
        <w:tc>
          <w:tcPr>
            <w:tcW w:type="dxa" w:w="1397"/>
            <w:shd w:val="clear" w:color="auto" w:fill="F2F6FA"/>
            <w:tcMar>
              <w:top w:w="80" w:type="dxa"/>
              <w:start w:w="85" w:type="dxa"/>
              <w:bottom w:w="80" w:type="dxa"/>
              <w:end w:w="85" w:type="dxa"/>
            </w:tcMar>
          </w:tcPr>
          <w:p>
            <w:pPr>
              <w:spacing w:before="0" w:after="0" w:line="264" w:lineRule="auto"/>
            </w:pPr>
          </w:p>
        </w:tc>
      </w:tr>
      <w:tr>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Exports and reports held by the operator</w:t>
            </w:r>
          </w:p>
        </w:tc>
        <w:tc>
          <w:tcPr>
            <w:tcW w:type="dxa" w:w="1098"/>
            <w:shd w:val="clear" w:color="auto" w:fill="F2F6FA"/>
            <w:tcMar>
              <w:top w:w="80" w:type="dxa"/>
              <w:start w:w="85" w:type="dxa"/>
              <w:bottom w:w="80" w:type="dxa"/>
              <w:end w:w="85" w:type="dxa"/>
            </w:tcMar>
          </w:tcPr>
          <w:p>
            <w:pPr>
              <w:spacing w:before="0" w:after="0" w:line="264" w:lineRule="auto"/>
            </w:pPr>
          </w:p>
        </w:tc>
        <w:tc>
          <w:tcPr>
            <w:tcW w:type="dxa" w:w="2195"/>
            <w:shd w:val="clear" w:color="auto" w:fill="F2F6FA"/>
            <w:tcMar>
              <w:top w:w="80" w:type="dxa"/>
              <w:start w:w="85" w:type="dxa"/>
              <w:bottom w:w="80" w:type="dxa"/>
              <w:end w:w="85" w:type="dxa"/>
            </w:tcMar>
          </w:tcPr>
          <w:p>
            <w:pPr>
              <w:spacing w:before="0" w:after="0" w:line="264" w:lineRule="auto"/>
            </w:pPr>
          </w:p>
        </w:tc>
        <w:tc>
          <w:tcPr>
            <w:tcW w:type="dxa" w:w="1696"/>
            <w:shd w:val="clear" w:color="auto" w:fill="F2F6FA"/>
            <w:tcMar>
              <w:top w:w="80" w:type="dxa"/>
              <w:start w:w="85" w:type="dxa"/>
              <w:bottom w:w="80" w:type="dxa"/>
              <w:end w:w="85" w:type="dxa"/>
            </w:tcMar>
          </w:tcPr>
          <w:p>
            <w:pPr>
              <w:spacing w:before="0" w:after="0" w:line="264" w:lineRule="auto"/>
            </w:pPr>
          </w:p>
        </w:tc>
        <w:tc>
          <w:tcPr>
            <w:tcW w:type="dxa" w:w="1596"/>
            <w:shd w:val="clear" w:color="auto" w:fill="F2F6FA"/>
            <w:tcMar>
              <w:top w:w="80" w:type="dxa"/>
              <w:start w:w="85" w:type="dxa"/>
              <w:bottom w:w="80" w:type="dxa"/>
              <w:end w:w="85" w:type="dxa"/>
            </w:tcMar>
          </w:tcPr>
          <w:p>
            <w:pPr>
              <w:spacing w:before="0" w:after="0" w:line="264" w:lineRule="auto"/>
            </w:pPr>
          </w:p>
        </w:tc>
        <w:tc>
          <w:tcPr>
            <w:tcW w:type="dxa" w:w="1397"/>
            <w:shd w:val="clear" w:color="auto" w:fill="F2F6FA"/>
            <w:tcMar>
              <w:top w:w="80" w:type="dxa"/>
              <w:start w:w="85" w:type="dxa"/>
              <w:bottom w:w="80" w:type="dxa"/>
              <w:end w:w="85" w:type="dxa"/>
            </w:tcMar>
          </w:tcPr>
          <w:p>
            <w:pPr>
              <w:spacing w:before="0" w:after="0" w:line="264" w:lineRule="auto"/>
            </w:pPr>
          </w:p>
        </w:tc>
      </w:tr>
      <w:tr>
        <w:tc>
          <w:tcPr>
            <w:tcW w:type="dxa" w:w="1996"/>
            <w:tcMar>
              <w:top w:w="80" w:type="dxa"/>
              <w:start w:w="85" w:type="dxa"/>
              <w:bottom w:w="80" w:type="dxa"/>
              <w:end w:w="85" w:type="dxa"/>
            </w:tcMar>
          </w:tcPr>
          <w:p>
            <w:pPr>
              <w:spacing w:before="0" w:after="0" w:line="264" w:lineRule="auto"/>
            </w:pPr>
            <w:r>
              <w:rPr>
                <w:rFonts w:ascii="Calibri" w:hAnsi="Calibri"/>
                <w:b/>
                <w:i w:val="0"/>
                <w:color w:val="2C3338"/>
                <w:sz w:val="16"/>
              </w:rPr>
              <w:t>Rights request records</w:t>
            </w:r>
          </w:p>
        </w:tc>
        <w:tc>
          <w:tcPr>
            <w:tcW w:type="dxa" w:w="1098"/>
            <w:shd w:val="clear" w:color="auto" w:fill="F2F6FA"/>
            <w:tcMar>
              <w:top w:w="80" w:type="dxa"/>
              <w:start w:w="85" w:type="dxa"/>
              <w:bottom w:w="80" w:type="dxa"/>
              <w:end w:w="85" w:type="dxa"/>
            </w:tcMar>
          </w:tcPr>
          <w:p>
            <w:pPr>
              <w:spacing w:before="0" w:after="0" w:line="264" w:lineRule="auto"/>
            </w:pPr>
          </w:p>
        </w:tc>
        <w:tc>
          <w:tcPr>
            <w:tcW w:type="dxa" w:w="2195"/>
            <w:shd w:val="clear" w:color="auto" w:fill="F2F6FA"/>
            <w:tcMar>
              <w:top w:w="80" w:type="dxa"/>
              <w:start w:w="85" w:type="dxa"/>
              <w:bottom w:w="80" w:type="dxa"/>
              <w:end w:w="85" w:type="dxa"/>
            </w:tcMar>
          </w:tcPr>
          <w:p>
            <w:pPr>
              <w:spacing w:before="0" w:after="0" w:line="264" w:lineRule="auto"/>
            </w:pPr>
          </w:p>
        </w:tc>
        <w:tc>
          <w:tcPr>
            <w:tcW w:type="dxa" w:w="1696"/>
            <w:shd w:val="clear" w:color="auto" w:fill="F2F6FA"/>
            <w:tcMar>
              <w:top w:w="80" w:type="dxa"/>
              <w:start w:w="85" w:type="dxa"/>
              <w:bottom w:w="80" w:type="dxa"/>
              <w:end w:w="85" w:type="dxa"/>
            </w:tcMar>
          </w:tcPr>
          <w:p>
            <w:pPr>
              <w:spacing w:before="0" w:after="0" w:line="264" w:lineRule="auto"/>
            </w:pPr>
          </w:p>
        </w:tc>
        <w:tc>
          <w:tcPr>
            <w:tcW w:type="dxa" w:w="1596"/>
            <w:shd w:val="clear" w:color="auto" w:fill="F2F6FA"/>
            <w:tcMar>
              <w:top w:w="80" w:type="dxa"/>
              <w:start w:w="85" w:type="dxa"/>
              <w:bottom w:w="80" w:type="dxa"/>
              <w:end w:w="85" w:type="dxa"/>
            </w:tcMar>
          </w:tcPr>
          <w:p>
            <w:pPr>
              <w:spacing w:before="0" w:after="0" w:line="264" w:lineRule="auto"/>
            </w:pPr>
          </w:p>
        </w:tc>
        <w:tc>
          <w:tcPr>
            <w:tcW w:type="dxa" w:w="1397"/>
            <w:shd w:val="clear" w:color="auto" w:fill="F2F6FA"/>
            <w:tcMar>
              <w:top w:w="80" w:type="dxa"/>
              <w:start w:w="85" w:type="dxa"/>
              <w:bottom w:w="80" w:type="dxa"/>
              <w:end w:w="85" w:type="dxa"/>
            </w:tcMar>
          </w:tcPr>
          <w:p>
            <w:pPr>
              <w:spacing w:before="0" w:after="0" w:line="264" w:lineRule="auto"/>
            </w:pPr>
          </w:p>
        </w:tc>
      </w:tr>
      <w:tr>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Backups</w:t>
            </w:r>
          </w:p>
        </w:tc>
        <w:tc>
          <w:tcPr>
            <w:tcW w:type="dxa" w:w="1098"/>
            <w:shd w:val="clear" w:color="auto" w:fill="F2F6FA"/>
            <w:tcMar>
              <w:top w:w="80" w:type="dxa"/>
              <w:start w:w="85" w:type="dxa"/>
              <w:bottom w:w="80" w:type="dxa"/>
              <w:end w:w="85" w:type="dxa"/>
            </w:tcMar>
          </w:tcPr>
          <w:p>
            <w:pPr>
              <w:spacing w:before="0" w:after="0" w:line="264" w:lineRule="auto"/>
            </w:pPr>
          </w:p>
        </w:tc>
        <w:tc>
          <w:tcPr>
            <w:tcW w:type="dxa" w:w="2195"/>
            <w:shd w:val="clear" w:color="auto" w:fill="F2F6FA"/>
            <w:tcMar>
              <w:top w:w="80" w:type="dxa"/>
              <w:start w:w="85" w:type="dxa"/>
              <w:bottom w:w="80" w:type="dxa"/>
              <w:end w:w="85" w:type="dxa"/>
            </w:tcMar>
          </w:tcPr>
          <w:p>
            <w:pPr>
              <w:spacing w:before="0" w:after="0" w:line="264" w:lineRule="auto"/>
            </w:pPr>
          </w:p>
        </w:tc>
        <w:tc>
          <w:tcPr>
            <w:tcW w:type="dxa" w:w="1696"/>
            <w:shd w:val="clear" w:color="auto" w:fill="F2F6FA"/>
            <w:tcMar>
              <w:top w:w="80" w:type="dxa"/>
              <w:start w:w="85" w:type="dxa"/>
              <w:bottom w:w="80" w:type="dxa"/>
              <w:end w:w="85" w:type="dxa"/>
            </w:tcMar>
          </w:tcPr>
          <w:p>
            <w:pPr>
              <w:spacing w:before="0" w:after="0" w:line="264" w:lineRule="auto"/>
            </w:pPr>
          </w:p>
        </w:tc>
        <w:tc>
          <w:tcPr>
            <w:tcW w:type="dxa" w:w="1596"/>
            <w:shd w:val="clear" w:color="auto" w:fill="F2F6FA"/>
            <w:tcMar>
              <w:top w:w="80" w:type="dxa"/>
              <w:start w:w="85" w:type="dxa"/>
              <w:bottom w:w="80" w:type="dxa"/>
              <w:end w:w="85" w:type="dxa"/>
            </w:tcMar>
          </w:tcPr>
          <w:p>
            <w:pPr>
              <w:spacing w:before="0" w:after="0" w:line="264" w:lineRule="auto"/>
            </w:pPr>
          </w:p>
        </w:tc>
        <w:tc>
          <w:tcPr>
            <w:tcW w:type="dxa" w:w="1397"/>
            <w:shd w:val="clear" w:color="auto" w:fill="F2F6FA"/>
            <w:tcMar>
              <w:top w:w="80" w:type="dxa"/>
              <w:start w:w="85" w:type="dxa"/>
              <w:bottom w:w="80" w:type="dxa"/>
              <w:end w:w="85" w:type="dxa"/>
            </w:tcMar>
          </w:tcPr>
          <w:p>
            <w:pPr>
              <w:spacing w:before="0" w:after="0" w:line="264" w:lineRule="auto"/>
            </w:pPr>
          </w:p>
        </w:tc>
      </w:tr>
    </w:tbl>
    <w:p>
      <w:pPr>
        <w:spacing w:before="0" w:after="100" w:line="240" w:lineRule="auto"/>
      </w:pPr>
    </w:p>
    <w:tbl>
      <w:tblPr>
        <w:tblW w:type="auto" w:w="0"/>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4989"/>
        <w:gridCol w:w="4989"/>
      </w:tblGrid>
      <w:tr>
        <w:trPr>
          <w:cantSplit/>
        </w:trPr>
        <w:tc>
          <w:tcPr>
            <w:tcW w:type="dxa" w:w="4989"/>
            <w:tcMar>
              <w:top w:w="0" w:type="dxa"/>
              <w:start w:w="0" w:type="dxa"/>
              <w:bottom w:w="0" w:type="dxa"/>
              <w:end w:w="110" w:type="dxa"/>
            </w:tcMar>
          </w:tcPr>
          <w:p>
            <w:pPr>
              <w:keepNext/>
              <w:spacing w:before="0" w:after="20" w:line="240" w:lineRule="auto"/>
            </w:pPr>
            <w:r>
              <w:rPr>
                <w:rFonts w:ascii="Calibri" w:hAnsi="Calibri"/>
                <w:b/>
                <w:i w:val="0"/>
                <w:color w:val="19455E"/>
                <w:sz w:val="16"/>
              </w:rPr>
              <w:t>Schedule approved by</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c>
          <w:tcPr>
            <w:tcW w:type="dxa" w:w="4989"/>
            <w:tcMar>
              <w:top w:w="0" w:type="dxa"/>
              <w:start w:w="0" w:type="dxa"/>
              <w:bottom w:w="0" w:type="dxa"/>
              <w:end w:w="0" w:type="dxa"/>
            </w:tcMar>
          </w:tcPr>
          <w:p>
            <w:pPr>
              <w:keepNext/>
              <w:spacing w:before="0" w:after="20" w:line="240" w:lineRule="auto"/>
            </w:pPr>
            <w:r>
              <w:rPr>
                <w:rFonts w:ascii="Calibri" w:hAnsi="Calibri"/>
                <w:b/>
                <w:i w:val="0"/>
                <w:color w:val="19455E"/>
                <w:sz w:val="16"/>
              </w:rPr>
              <w:t>Date</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r>
    </w:tbl>
    <w:p>
      <w:pPr>
        <w:spacing w:before="0" w:after="80" w:line="240" w:lineRule="auto"/>
      </w:pPr>
    </w:p>
    <w:tbl>
      <w:tblPr>
        <w:tblW w:type="auto" w:w="0"/>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4989"/>
        <w:gridCol w:w="4989"/>
      </w:tblGrid>
      <w:tr>
        <w:trPr>
          <w:cantSplit/>
        </w:trPr>
        <w:tc>
          <w:tcPr>
            <w:tcW w:type="dxa" w:w="4989"/>
            <w:tcMar>
              <w:top w:w="0" w:type="dxa"/>
              <w:start w:w="0" w:type="dxa"/>
              <w:bottom w:w="0" w:type="dxa"/>
              <w:end w:w="110" w:type="dxa"/>
            </w:tcMar>
          </w:tcPr>
          <w:p>
            <w:pPr>
              <w:keepNext/>
              <w:spacing w:before="0" w:after="20" w:line="240" w:lineRule="auto"/>
            </w:pPr>
            <w:r>
              <w:rPr>
                <w:rFonts w:ascii="Calibri" w:hAnsi="Calibri"/>
                <w:b/>
                <w:i w:val="0"/>
                <w:color w:val="19455E"/>
                <w:sz w:val="16"/>
              </w:rPr>
              <w:t>Next retention audit due</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c>
          <w:tcPr>
            <w:tcW w:type="dxa" w:w="4989"/>
            <w:tcMar>
              <w:top w:w="0" w:type="dxa"/>
              <w:start w:w="0" w:type="dxa"/>
              <w:bottom w:w="0" w:type="dxa"/>
              <w:end w:w="0" w:type="dxa"/>
            </w:tcMar>
          </w:tcPr>
          <w:p>
            <w:pPr>
              <w:keepNext/>
              <w:spacing w:before="0" w:after="20" w:line="240" w:lineRule="auto"/>
            </w:pPr>
            <w:r>
              <w:rPr>
                <w:rFonts w:ascii="Calibri" w:hAnsi="Calibri"/>
                <w:b/>
                <w:i w:val="0"/>
                <w:color w:val="19455E"/>
                <w:sz w:val="16"/>
              </w:rPr>
              <w:t>Evidence of last deletion run</w:t>
            </w:r>
          </w:p>
          <w:tbl>
            <w:tblPr>
              <w:tblW w:type="auto" w:w="0"/>
              <w:tblBorders>
                <w:top w:val="single" w:sz="6" w:space="0" w:color="C9CFD6"/>
                <w:left w:val="single" w:sz="6" w:space="0" w:color="C9CFD6"/>
                <w:bottom w:val="single" w:sz="6" w:space="0" w:color="C9CFD6"/>
                <w:right w:val="single" w:sz="6" w:space="0" w:color="C9CFD6"/>
              </w:tblBorders>
              <w:tblLayout w:type="fixed"/>
              <w:tblLook w:firstColumn="1" w:firstRow="1" w:lastColumn="0" w:lastRow="0" w:noHBand="0" w:noVBand="1" w:val="04A0"/>
            </w:tblPr>
            <w:tblGrid>
              <w:gridCol w:w="4989"/>
            </w:tblGrid>
            <w:tr>
              <w:trPr>
                <w:cantSplit/>
              </w:trPr>
              <w:tc>
                <w:tcPr>
                  <w:tcW w:type="dxa" w:w="4989"/>
                  <w:shd w:val="clear" w:color="auto" w:fill="F2F6FA"/>
                  <w:tcMar>
                    <w:top w:w="60" w:type="dxa"/>
                    <w:start w:w="90" w:type="dxa"/>
                    <w:bottom w:w="60" w:type="dxa"/>
                    <w:end w:w="90" w:type="dxa"/>
                  </w:tcMar>
                </w:tcPr>
                <w:p>
                  <w:pPr>
                    <w:keepNext/>
                    <w:spacing w:before="0" w:after="0" w:line="300" w:lineRule="auto"/>
                  </w:pPr>
                  <w:r>
                    <w:rPr>
                      <w:sz w:val="19"/>
                    </w:rPr>
                  </w:r>
                </w:p>
              </w:tc>
            </w:tr>
          </w:tbl>
          <w:p>
            <w:pPr>
              <w:keepNext/>
            </w:pPr>
          </w:p>
        </w:tc>
      </w:tr>
    </w:tbl>
    <w:p>
      <w:pPr>
        <w:spacing w:before="0" w:after="80" w:line="240" w:lineRule="auto"/>
      </w:pPr>
    </w:p>
    <w:tbl>
      <w:tblPr>
        <w:tblW w:type="auto" w:w="0"/>
        <w:jc w:val="left"/>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9978"/>
      </w:tblGrid>
      <w:tr>
        <w:trPr>
          <w:cantSplit/>
        </w:trPr>
        <w:tc>
          <w:tcPr>
            <w:tcW w:type="dxa" w:w="9978"/>
            <w:shd w:val="clear" w:color="auto" w:fill="03273F"/>
            <w:tcMar>
              <w:top w:w="150" w:type="dxa"/>
              <w:start w:w="170" w:type="dxa"/>
              <w:bottom w:w="150" w:type="dxa"/>
              <w:end w:w="170" w:type="dxa"/>
            </w:tcMar>
          </w:tcPr>
          <w:p>
            <w:pPr>
              <w:keepNext/>
              <w:spacing w:before="0" w:after="0" w:line="264" w:lineRule="auto"/>
            </w:pPr>
            <w:r>
              <w:rPr>
                <w:rFonts w:ascii="Calibri" w:hAnsi="Calibri"/>
                <w:b/>
                <w:color w:val="FFFFFF"/>
                <w:sz w:val="30"/>
              </w:rPr>
              <w:t>Annex C — Sources</w:t>
            </w:r>
          </w:p>
        </w:tc>
      </w:tr>
    </w:tbl>
    <w:p>
      <w:pPr>
        <w:keepNext/>
        <w:spacing w:before="0" w:after="60" w:line="240" w:lineRule="auto"/>
      </w:pPr>
    </w:p>
    <w:p>
      <w:pPr>
        <w:spacing w:before="0" w:after="100" w:line="283" w:lineRule="auto"/>
      </w:pPr>
      <w:r>
        <w:rPr>
          <w:rFonts w:ascii="Calibri" w:hAnsi="Calibri"/>
          <w:b w:val="0"/>
          <w:i w:val="0"/>
          <w:color w:val="4B4F58"/>
          <w:sz w:val="19"/>
        </w:rPr>
        <w:t>Every legal instrument and guidance page relied on in this pack is listed below with its issuing body and full address. Verify the current version at the point of use: legislation and guidance both change, and a template cannot keep pace with them.</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499"/>
        <w:gridCol w:w="3293"/>
        <w:gridCol w:w="1996"/>
        <w:gridCol w:w="4191"/>
      </w:tblGrid>
      <w:tr>
        <w:trPr>
          <w:tblHeader w:val="true"/>
        </w:trPr>
        <w:tc>
          <w:tcPr>
            <w:tcW w:type="dxa" w:w="499"/>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w:t>
            </w:r>
          </w:p>
        </w:tc>
        <w:tc>
          <w:tcPr>
            <w:tcW w:type="dxa" w:w="32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Instrument or guidance</w:t>
            </w:r>
          </w:p>
        </w:tc>
        <w:tc>
          <w:tcPr>
            <w:tcW w:type="dxa" w:w="1996"/>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Issuing body</w:t>
            </w:r>
          </w:p>
        </w:tc>
        <w:tc>
          <w:tcPr>
            <w:tcW w:type="dxa" w:w="4191"/>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Address</w:t>
            </w:r>
          </w:p>
        </w:tc>
      </w:tr>
      <w:tr>
        <w:tc>
          <w:tcPr>
            <w:tcW w:type="dxa" w:w="499"/>
            <w:tcMar>
              <w:top w:w="80" w:type="dxa"/>
              <w:start w:w="85" w:type="dxa"/>
              <w:bottom w:w="80" w:type="dxa"/>
              <w:end w:w="85" w:type="dxa"/>
            </w:tcMar>
          </w:tcPr>
          <w:p>
            <w:pPr>
              <w:spacing w:before="0" w:after="0" w:line="264" w:lineRule="auto"/>
            </w:pPr>
            <w:r>
              <w:rPr>
                <w:rFonts w:ascii="Calibri" w:hAnsi="Calibri"/>
                <w:b w:val="0"/>
                <w:i w:val="0"/>
                <w:color w:val="4B4F58"/>
                <w:sz w:val="16"/>
              </w:rPr>
              <w:t>1</w:t>
            </w:r>
          </w:p>
        </w:tc>
        <w:tc>
          <w:tcPr>
            <w:tcW w:type="dxa" w:w="3293"/>
            <w:tcMar>
              <w:top w:w="80" w:type="dxa"/>
              <w:start w:w="85" w:type="dxa"/>
              <w:bottom w:w="80" w:type="dxa"/>
              <w:end w:w="85" w:type="dxa"/>
            </w:tcMar>
          </w:tcPr>
          <w:p>
            <w:pPr>
              <w:spacing w:before="0" w:after="0" w:line="264" w:lineRule="auto"/>
            </w:pPr>
            <w:r>
              <w:rPr>
                <w:rFonts w:ascii="Calibri" w:hAnsi="Calibri"/>
                <w:b/>
                <w:i w:val="0"/>
                <w:color w:val="03273F"/>
                <w:sz w:val="16"/>
              </w:rPr>
              <w:t>UK GDPR Article 35 — Data protection impact assessment</w:t>
            </w:r>
          </w:p>
        </w:tc>
        <w:tc>
          <w:tcPr>
            <w:tcW w:type="dxa" w:w="1996"/>
            <w:tcMar>
              <w:top w:w="80" w:type="dxa"/>
              <w:start w:w="85" w:type="dxa"/>
              <w:bottom w:w="80" w:type="dxa"/>
              <w:end w:w="85" w:type="dxa"/>
            </w:tcMar>
          </w:tcPr>
          <w:p>
            <w:pPr>
              <w:spacing w:before="0" w:after="0" w:line="264" w:lineRule="auto"/>
            </w:pPr>
            <w:r>
              <w:rPr>
                <w:rFonts w:ascii="Calibri" w:hAnsi="Calibri"/>
                <w:b w:val="0"/>
                <w:i w:val="0"/>
                <w:color w:val="4B4F58"/>
                <w:sz w:val="16"/>
              </w:rPr>
              <w:t>Legislation.gov.uk (retained EU law)</w:t>
            </w:r>
          </w:p>
        </w:tc>
        <w:tc>
          <w:tcPr>
            <w:tcW w:type="dxa" w:w="4191"/>
            <w:tcMar>
              <w:top w:w="80" w:type="dxa"/>
              <w:start w:w="85" w:type="dxa"/>
              <w:bottom w:w="80" w:type="dxa"/>
              <w:end w:w="85" w:type="dxa"/>
            </w:tcMar>
          </w:tcPr>
          <w:p>
            <w:pPr>
              <w:spacing w:before="0" w:after="0" w:line="264" w:lineRule="auto"/>
            </w:pPr>
            <w:hyperlink r:id="rId12">
              <w:r>
                <w:rPr>
                  <w:rFonts w:ascii="Calibri" w:hAnsi="Calibri"/>
                  <w:color w:val="19455E"/>
                  <w:u w:val="single"/>
                  <w:sz w:val="15"/>
                </w:rPr>
                <w:t xml:space="preserve">https://www.legislation.gov.uk/eur/2016/679/article/35</w:t>
              </w:r>
            </w:hyperlink>
          </w:p>
        </w:tc>
      </w:tr>
      <w:tr>
        <w:tc>
          <w:tcPr>
            <w:tcW w:type="dxa" w:w="499"/>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2</w:t>
            </w:r>
          </w:p>
        </w:tc>
        <w:tc>
          <w:tcPr>
            <w:tcW w:type="dxa" w:w="3293"/>
            <w:shd w:val="clear" w:color="auto" w:fill="F7F8FA"/>
            <w:tcMar>
              <w:top w:w="80" w:type="dxa"/>
              <w:start w:w="85" w:type="dxa"/>
              <w:bottom w:w="80" w:type="dxa"/>
              <w:end w:w="85" w:type="dxa"/>
            </w:tcMar>
          </w:tcPr>
          <w:p>
            <w:pPr>
              <w:spacing w:before="0" w:after="0" w:line="264" w:lineRule="auto"/>
            </w:pPr>
            <w:r>
              <w:rPr>
                <w:rFonts w:ascii="Calibri" w:hAnsi="Calibri"/>
                <w:b/>
                <w:i w:val="0"/>
                <w:color w:val="03273F"/>
                <w:sz w:val="16"/>
              </w:rPr>
              <w:t>UK GDPR Article 4 — Definitions (including biometric data)</w:t>
            </w:r>
          </w:p>
        </w:tc>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Legislation.gov.uk (retained EU law)</w:t>
            </w:r>
          </w:p>
        </w:tc>
        <w:tc>
          <w:tcPr>
            <w:tcW w:type="dxa" w:w="4191"/>
            <w:shd w:val="clear" w:color="auto" w:fill="F7F8FA"/>
            <w:tcMar>
              <w:top w:w="80" w:type="dxa"/>
              <w:start w:w="85" w:type="dxa"/>
              <w:bottom w:w="80" w:type="dxa"/>
              <w:end w:w="85" w:type="dxa"/>
            </w:tcMar>
          </w:tcPr>
          <w:p>
            <w:pPr>
              <w:spacing w:before="0" w:after="0" w:line="264" w:lineRule="auto"/>
            </w:pPr>
            <w:hyperlink r:id="rId18">
              <w:r>
                <w:rPr>
                  <w:rFonts w:ascii="Calibri" w:hAnsi="Calibri"/>
                  <w:color w:val="19455E"/>
                  <w:u w:val="single"/>
                  <w:sz w:val="15"/>
                </w:rPr>
                <w:t xml:space="preserve">https://www.legislation.gov.uk/eur/2016/679/article/4</w:t>
              </w:r>
            </w:hyperlink>
          </w:p>
        </w:tc>
      </w:tr>
      <w:tr>
        <w:tc>
          <w:tcPr>
            <w:tcW w:type="dxa" w:w="499"/>
            <w:tcMar>
              <w:top w:w="80" w:type="dxa"/>
              <w:start w:w="85" w:type="dxa"/>
              <w:bottom w:w="80" w:type="dxa"/>
              <w:end w:w="85" w:type="dxa"/>
            </w:tcMar>
          </w:tcPr>
          <w:p>
            <w:pPr>
              <w:spacing w:before="0" w:after="0" w:line="264" w:lineRule="auto"/>
            </w:pPr>
            <w:r>
              <w:rPr>
                <w:rFonts w:ascii="Calibri" w:hAnsi="Calibri"/>
                <w:b w:val="0"/>
                <w:i w:val="0"/>
                <w:color w:val="4B4F58"/>
                <w:sz w:val="16"/>
              </w:rPr>
              <w:t>3</w:t>
            </w:r>
          </w:p>
        </w:tc>
        <w:tc>
          <w:tcPr>
            <w:tcW w:type="dxa" w:w="3293"/>
            <w:tcMar>
              <w:top w:w="80" w:type="dxa"/>
              <w:start w:w="85" w:type="dxa"/>
              <w:bottom w:w="80" w:type="dxa"/>
              <w:end w:w="85" w:type="dxa"/>
            </w:tcMar>
          </w:tcPr>
          <w:p>
            <w:pPr>
              <w:spacing w:before="0" w:after="0" w:line="264" w:lineRule="auto"/>
            </w:pPr>
            <w:r>
              <w:rPr>
                <w:rFonts w:ascii="Calibri" w:hAnsi="Calibri"/>
                <w:b/>
                <w:i w:val="0"/>
                <w:color w:val="03273F"/>
                <w:sz w:val="16"/>
              </w:rPr>
              <w:t>UK GDPR Article 9 — Processing of special categories of personal data</w:t>
            </w:r>
          </w:p>
        </w:tc>
        <w:tc>
          <w:tcPr>
            <w:tcW w:type="dxa" w:w="1996"/>
            <w:tcMar>
              <w:top w:w="80" w:type="dxa"/>
              <w:start w:w="85" w:type="dxa"/>
              <w:bottom w:w="80" w:type="dxa"/>
              <w:end w:w="85" w:type="dxa"/>
            </w:tcMar>
          </w:tcPr>
          <w:p>
            <w:pPr>
              <w:spacing w:before="0" w:after="0" w:line="264" w:lineRule="auto"/>
            </w:pPr>
            <w:r>
              <w:rPr>
                <w:rFonts w:ascii="Calibri" w:hAnsi="Calibri"/>
                <w:b w:val="0"/>
                <w:i w:val="0"/>
                <w:color w:val="4B4F58"/>
                <w:sz w:val="16"/>
              </w:rPr>
              <w:t>Legislation.gov.uk (retained EU law)</w:t>
            </w:r>
          </w:p>
        </w:tc>
        <w:tc>
          <w:tcPr>
            <w:tcW w:type="dxa" w:w="4191"/>
            <w:tcMar>
              <w:top w:w="80" w:type="dxa"/>
              <w:start w:w="85" w:type="dxa"/>
              <w:bottom w:w="80" w:type="dxa"/>
              <w:end w:w="85" w:type="dxa"/>
            </w:tcMar>
          </w:tcPr>
          <w:p>
            <w:pPr>
              <w:spacing w:before="0" w:after="0" w:line="264" w:lineRule="auto"/>
            </w:pPr>
            <w:hyperlink r:id="rId19">
              <w:r>
                <w:rPr>
                  <w:rFonts w:ascii="Calibri" w:hAnsi="Calibri"/>
                  <w:color w:val="19455E"/>
                  <w:u w:val="single"/>
                  <w:sz w:val="15"/>
                </w:rPr>
                <w:t xml:space="preserve">https://www.legislation.gov.uk/eur/2016/679/article/9</w:t>
              </w:r>
            </w:hyperlink>
          </w:p>
        </w:tc>
      </w:tr>
      <w:tr>
        <w:tc>
          <w:tcPr>
            <w:tcW w:type="dxa" w:w="499"/>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4</w:t>
            </w:r>
          </w:p>
        </w:tc>
        <w:tc>
          <w:tcPr>
            <w:tcW w:type="dxa" w:w="3293"/>
            <w:shd w:val="clear" w:color="auto" w:fill="F7F8FA"/>
            <w:tcMar>
              <w:top w:w="80" w:type="dxa"/>
              <w:start w:w="85" w:type="dxa"/>
              <w:bottom w:w="80" w:type="dxa"/>
              <w:end w:w="85" w:type="dxa"/>
            </w:tcMar>
          </w:tcPr>
          <w:p>
            <w:pPr>
              <w:spacing w:before="0" w:after="0" w:line="264" w:lineRule="auto"/>
            </w:pPr>
            <w:r>
              <w:rPr>
                <w:rFonts w:ascii="Calibri" w:hAnsi="Calibri"/>
                <w:b/>
                <w:i w:val="0"/>
                <w:color w:val="03273F"/>
                <w:sz w:val="16"/>
              </w:rPr>
              <w:t>When do we need to do a DPIA?</w:t>
            </w:r>
          </w:p>
        </w:tc>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Information Commissioner's Office</w:t>
            </w:r>
          </w:p>
        </w:tc>
        <w:tc>
          <w:tcPr>
            <w:tcW w:type="dxa" w:w="4191"/>
            <w:shd w:val="clear" w:color="auto" w:fill="F7F8FA"/>
            <w:tcMar>
              <w:top w:w="80" w:type="dxa"/>
              <w:start w:w="85" w:type="dxa"/>
              <w:bottom w:w="80" w:type="dxa"/>
              <w:end w:w="85" w:type="dxa"/>
            </w:tcMar>
          </w:tcPr>
          <w:p>
            <w:pPr>
              <w:spacing w:before="0" w:after="0" w:line="264" w:lineRule="auto"/>
            </w:pPr>
            <w:hyperlink r:id="rId11">
              <w:r>
                <w:rPr>
                  <w:rFonts w:ascii="Calibri" w:hAnsi="Calibri"/>
                  <w:color w:val="19455E"/>
                  <w:u w:val="single"/>
                  <w:sz w:val="15"/>
                </w:rPr>
                <w:t xml:space="preserve">https://ico.org.uk/for-organisations/uk-gdpr-guidance-and-resources/accountability-and-governance/data-protection-impact-assessments-dpias/when-do-we-need-to-do-a-dpia/</w:t>
              </w:r>
            </w:hyperlink>
          </w:p>
        </w:tc>
      </w:tr>
      <w:tr>
        <w:tc>
          <w:tcPr>
            <w:tcW w:type="dxa" w:w="499"/>
            <w:tcMar>
              <w:top w:w="80" w:type="dxa"/>
              <w:start w:w="85" w:type="dxa"/>
              <w:bottom w:w="80" w:type="dxa"/>
              <w:end w:w="85" w:type="dxa"/>
            </w:tcMar>
          </w:tcPr>
          <w:p>
            <w:pPr>
              <w:spacing w:before="0" w:after="0" w:line="264" w:lineRule="auto"/>
            </w:pPr>
            <w:r>
              <w:rPr>
                <w:rFonts w:ascii="Calibri" w:hAnsi="Calibri"/>
                <w:b w:val="0"/>
                <w:i w:val="0"/>
                <w:color w:val="4B4F58"/>
                <w:sz w:val="16"/>
              </w:rPr>
              <w:t>5</w:t>
            </w:r>
          </w:p>
        </w:tc>
        <w:tc>
          <w:tcPr>
            <w:tcW w:type="dxa" w:w="3293"/>
            <w:tcMar>
              <w:top w:w="80" w:type="dxa"/>
              <w:start w:w="85" w:type="dxa"/>
              <w:bottom w:w="80" w:type="dxa"/>
              <w:end w:w="85" w:type="dxa"/>
            </w:tcMar>
          </w:tcPr>
          <w:p>
            <w:pPr>
              <w:spacing w:before="0" w:after="0" w:line="264" w:lineRule="auto"/>
            </w:pPr>
            <w:r>
              <w:rPr>
                <w:rFonts w:ascii="Calibri" w:hAnsi="Calibri"/>
                <w:b/>
                <w:i w:val="0"/>
                <w:color w:val="03273F"/>
                <w:sz w:val="16"/>
              </w:rPr>
              <w:t>How do we do a DPIA?</w:t>
            </w:r>
          </w:p>
        </w:tc>
        <w:tc>
          <w:tcPr>
            <w:tcW w:type="dxa" w:w="1996"/>
            <w:tcMar>
              <w:top w:w="80" w:type="dxa"/>
              <w:start w:w="85" w:type="dxa"/>
              <w:bottom w:w="80" w:type="dxa"/>
              <w:end w:w="85" w:type="dxa"/>
            </w:tcMar>
          </w:tcPr>
          <w:p>
            <w:pPr>
              <w:spacing w:before="0" w:after="0" w:line="264" w:lineRule="auto"/>
            </w:pPr>
            <w:r>
              <w:rPr>
                <w:rFonts w:ascii="Calibri" w:hAnsi="Calibri"/>
                <w:b w:val="0"/>
                <w:i w:val="0"/>
                <w:color w:val="4B4F58"/>
                <w:sz w:val="16"/>
              </w:rPr>
              <w:t>Information Commissioner's Office</w:t>
            </w:r>
          </w:p>
        </w:tc>
        <w:tc>
          <w:tcPr>
            <w:tcW w:type="dxa" w:w="4191"/>
            <w:tcMar>
              <w:top w:w="80" w:type="dxa"/>
              <w:start w:w="85" w:type="dxa"/>
              <w:bottom w:w="80" w:type="dxa"/>
              <w:end w:w="85" w:type="dxa"/>
            </w:tcMar>
          </w:tcPr>
          <w:p>
            <w:pPr>
              <w:spacing w:before="0" w:after="0" w:line="264" w:lineRule="auto"/>
            </w:pPr>
            <w:hyperlink r:id="rId10">
              <w:r>
                <w:rPr>
                  <w:rFonts w:ascii="Calibri" w:hAnsi="Calibri"/>
                  <w:color w:val="19455E"/>
                  <w:u w:val="single"/>
                  <w:sz w:val="15"/>
                </w:rPr>
                <w:t xml:space="preserve">https://ico.org.uk/for-organisations/uk-gdpr-guidance-and-resources/accountability-and-governance/data-protection-impact-assessments-dpias/how-do-we-do-a-dpia/</w:t>
              </w:r>
            </w:hyperlink>
          </w:p>
        </w:tc>
      </w:tr>
      <w:tr>
        <w:tc>
          <w:tcPr>
            <w:tcW w:type="dxa" w:w="499"/>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6</w:t>
            </w:r>
          </w:p>
        </w:tc>
        <w:tc>
          <w:tcPr>
            <w:tcW w:type="dxa" w:w="3293"/>
            <w:shd w:val="clear" w:color="auto" w:fill="F7F8FA"/>
            <w:tcMar>
              <w:top w:w="80" w:type="dxa"/>
              <w:start w:w="85" w:type="dxa"/>
              <w:bottom w:w="80" w:type="dxa"/>
              <w:end w:w="85" w:type="dxa"/>
            </w:tcMar>
          </w:tcPr>
          <w:p>
            <w:pPr>
              <w:spacing w:before="0" w:after="0" w:line="264" w:lineRule="auto"/>
            </w:pPr>
            <w:r>
              <w:rPr>
                <w:rFonts w:ascii="Calibri" w:hAnsi="Calibri"/>
                <w:b/>
                <w:i w:val="0"/>
                <w:color w:val="03273F"/>
                <w:sz w:val="16"/>
              </w:rPr>
              <w:t>Data protection impact assessments (DPIAs) — guidance hub and update status</w:t>
            </w:r>
          </w:p>
        </w:tc>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Information Commissioner's Office</w:t>
            </w:r>
          </w:p>
        </w:tc>
        <w:tc>
          <w:tcPr>
            <w:tcW w:type="dxa" w:w="4191"/>
            <w:shd w:val="clear" w:color="auto" w:fill="F7F8FA"/>
            <w:tcMar>
              <w:top w:w="80" w:type="dxa"/>
              <w:start w:w="85" w:type="dxa"/>
              <w:bottom w:w="80" w:type="dxa"/>
              <w:end w:w="85" w:type="dxa"/>
            </w:tcMar>
          </w:tcPr>
          <w:p>
            <w:pPr>
              <w:spacing w:before="0" w:after="0" w:line="264" w:lineRule="auto"/>
            </w:pPr>
            <w:hyperlink r:id="rId21">
              <w:r>
                <w:rPr>
                  <w:rFonts w:ascii="Calibri" w:hAnsi="Calibri"/>
                  <w:color w:val="19455E"/>
                  <w:u w:val="single"/>
                  <w:sz w:val="15"/>
                </w:rPr>
                <w:t xml:space="preserve">https://ico.org.uk/for-organisations/uk-gdpr-guidance-and-resources/accountability-and-governance/data-protection-impact-assessments-dpias/</w:t>
              </w:r>
            </w:hyperlink>
          </w:p>
        </w:tc>
      </w:tr>
      <w:tr>
        <w:tc>
          <w:tcPr>
            <w:tcW w:type="dxa" w:w="499"/>
            <w:tcMar>
              <w:top w:w="80" w:type="dxa"/>
              <w:start w:w="85" w:type="dxa"/>
              <w:bottom w:w="80" w:type="dxa"/>
              <w:end w:w="85" w:type="dxa"/>
            </w:tcMar>
          </w:tcPr>
          <w:p>
            <w:pPr>
              <w:spacing w:before="0" w:after="0" w:line="264" w:lineRule="auto"/>
            </w:pPr>
            <w:r>
              <w:rPr>
                <w:rFonts w:ascii="Calibri" w:hAnsi="Calibri"/>
                <w:b w:val="0"/>
                <w:i w:val="0"/>
                <w:color w:val="4B4F58"/>
                <w:sz w:val="16"/>
              </w:rPr>
              <w:t>7</w:t>
            </w:r>
          </w:p>
        </w:tc>
        <w:tc>
          <w:tcPr>
            <w:tcW w:type="dxa" w:w="3293"/>
            <w:tcMar>
              <w:top w:w="80" w:type="dxa"/>
              <w:start w:w="85" w:type="dxa"/>
              <w:bottom w:w="80" w:type="dxa"/>
              <w:end w:w="85" w:type="dxa"/>
            </w:tcMar>
          </w:tcPr>
          <w:p>
            <w:pPr>
              <w:spacing w:before="0" w:after="0" w:line="264" w:lineRule="auto"/>
            </w:pPr>
            <w:r>
              <w:rPr>
                <w:rFonts w:ascii="Calibri" w:hAnsi="Calibri"/>
                <w:b/>
                <w:i w:val="0"/>
                <w:color w:val="03273F"/>
                <w:sz w:val="16"/>
              </w:rPr>
              <w:t>CCTV and video surveillance guidance</w:t>
            </w:r>
          </w:p>
        </w:tc>
        <w:tc>
          <w:tcPr>
            <w:tcW w:type="dxa" w:w="1996"/>
            <w:tcMar>
              <w:top w:w="80" w:type="dxa"/>
              <w:start w:w="85" w:type="dxa"/>
              <w:bottom w:w="80" w:type="dxa"/>
              <w:end w:w="85" w:type="dxa"/>
            </w:tcMar>
          </w:tcPr>
          <w:p>
            <w:pPr>
              <w:spacing w:before="0" w:after="0" w:line="264" w:lineRule="auto"/>
            </w:pPr>
            <w:r>
              <w:rPr>
                <w:rFonts w:ascii="Calibri" w:hAnsi="Calibri"/>
                <w:b w:val="0"/>
                <w:i w:val="0"/>
                <w:color w:val="4B4F58"/>
                <w:sz w:val="16"/>
              </w:rPr>
              <w:t>Information Commissioner's Office</w:t>
            </w:r>
          </w:p>
        </w:tc>
        <w:tc>
          <w:tcPr>
            <w:tcW w:type="dxa" w:w="4191"/>
            <w:tcMar>
              <w:top w:w="80" w:type="dxa"/>
              <w:start w:w="85" w:type="dxa"/>
              <w:bottom w:w="80" w:type="dxa"/>
              <w:end w:w="85" w:type="dxa"/>
            </w:tcMar>
          </w:tcPr>
          <w:p>
            <w:pPr>
              <w:spacing w:before="0" w:after="0" w:line="264" w:lineRule="auto"/>
            </w:pPr>
            <w:hyperlink r:id="rId24">
              <w:r>
                <w:rPr>
                  <w:rFonts w:ascii="Calibri" w:hAnsi="Calibri"/>
                  <w:color w:val="19455E"/>
                  <w:u w:val="single"/>
                  <w:sz w:val="15"/>
                </w:rPr>
                <w:t xml:space="preserve">https://ico.org.uk/for-organisations/uk-gdpr-guidance-and-resources/cctv-and-video-surveillance/</w:t>
              </w:r>
            </w:hyperlink>
          </w:p>
        </w:tc>
      </w:tr>
      <w:tr>
        <w:tc>
          <w:tcPr>
            <w:tcW w:type="dxa" w:w="499"/>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8</w:t>
            </w:r>
          </w:p>
        </w:tc>
        <w:tc>
          <w:tcPr>
            <w:tcW w:type="dxa" w:w="3293"/>
            <w:shd w:val="clear" w:color="auto" w:fill="F7F8FA"/>
            <w:tcMar>
              <w:top w:w="80" w:type="dxa"/>
              <w:start w:w="85" w:type="dxa"/>
              <w:bottom w:w="80" w:type="dxa"/>
              <w:end w:w="85" w:type="dxa"/>
            </w:tcMar>
          </w:tcPr>
          <w:p>
            <w:pPr>
              <w:spacing w:before="0" w:after="0" w:line="264" w:lineRule="auto"/>
            </w:pPr>
            <w:r>
              <w:rPr>
                <w:rFonts w:ascii="Calibri" w:hAnsi="Calibri"/>
                <w:b/>
                <w:i w:val="0"/>
                <w:color w:val="03273F"/>
                <w:sz w:val="16"/>
              </w:rPr>
              <w:t>Lawful basis: public task</w:t>
            </w:r>
          </w:p>
        </w:tc>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Information Commissioner's Office</w:t>
            </w:r>
          </w:p>
        </w:tc>
        <w:tc>
          <w:tcPr>
            <w:tcW w:type="dxa" w:w="4191"/>
            <w:shd w:val="clear" w:color="auto" w:fill="F7F8FA"/>
            <w:tcMar>
              <w:top w:w="80" w:type="dxa"/>
              <w:start w:w="85" w:type="dxa"/>
              <w:bottom w:w="80" w:type="dxa"/>
              <w:end w:w="85" w:type="dxa"/>
            </w:tcMar>
          </w:tcPr>
          <w:p>
            <w:pPr>
              <w:spacing w:before="0" w:after="0" w:line="264" w:lineRule="auto"/>
            </w:pPr>
            <w:hyperlink r:id="rId16">
              <w:r>
                <w:rPr>
                  <w:rFonts w:ascii="Calibri" w:hAnsi="Calibri"/>
                  <w:color w:val="19455E"/>
                  <w:u w:val="single"/>
                  <w:sz w:val="15"/>
                </w:rPr>
                <w:t xml:space="preserve">https://ico.org.uk/for-organisations/uk-gdpr-guidance-and-resources/lawful-basis/a-guide-to-lawful-basis/public-task/</w:t>
              </w:r>
            </w:hyperlink>
          </w:p>
        </w:tc>
      </w:tr>
      <w:tr>
        <w:tc>
          <w:tcPr>
            <w:tcW w:type="dxa" w:w="499"/>
            <w:tcMar>
              <w:top w:w="80" w:type="dxa"/>
              <w:start w:w="85" w:type="dxa"/>
              <w:bottom w:w="80" w:type="dxa"/>
              <w:end w:w="85" w:type="dxa"/>
            </w:tcMar>
          </w:tcPr>
          <w:p>
            <w:pPr>
              <w:spacing w:before="0" w:after="0" w:line="264" w:lineRule="auto"/>
            </w:pPr>
            <w:r>
              <w:rPr>
                <w:rFonts w:ascii="Calibri" w:hAnsi="Calibri"/>
                <w:b w:val="0"/>
                <w:i w:val="0"/>
                <w:color w:val="4B4F58"/>
                <w:sz w:val="16"/>
              </w:rPr>
              <w:t>9</w:t>
            </w:r>
          </w:p>
        </w:tc>
        <w:tc>
          <w:tcPr>
            <w:tcW w:type="dxa" w:w="3293"/>
            <w:tcMar>
              <w:top w:w="80" w:type="dxa"/>
              <w:start w:w="85" w:type="dxa"/>
              <w:bottom w:w="80" w:type="dxa"/>
              <w:end w:w="85" w:type="dxa"/>
            </w:tcMar>
          </w:tcPr>
          <w:p>
            <w:pPr>
              <w:spacing w:before="0" w:after="0" w:line="264" w:lineRule="auto"/>
            </w:pPr>
            <w:r>
              <w:rPr>
                <w:rFonts w:ascii="Calibri" w:hAnsi="Calibri"/>
                <w:b/>
                <w:i w:val="0"/>
                <w:color w:val="03273F"/>
                <w:sz w:val="16"/>
              </w:rPr>
              <w:t>Lawful basis: legitimate interests</w:t>
            </w:r>
          </w:p>
        </w:tc>
        <w:tc>
          <w:tcPr>
            <w:tcW w:type="dxa" w:w="1996"/>
            <w:tcMar>
              <w:top w:w="80" w:type="dxa"/>
              <w:start w:w="85" w:type="dxa"/>
              <w:bottom w:w="80" w:type="dxa"/>
              <w:end w:w="85" w:type="dxa"/>
            </w:tcMar>
          </w:tcPr>
          <w:p>
            <w:pPr>
              <w:spacing w:before="0" w:after="0" w:line="264" w:lineRule="auto"/>
            </w:pPr>
            <w:r>
              <w:rPr>
                <w:rFonts w:ascii="Calibri" w:hAnsi="Calibri"/>
                <w:b w:val="0"/>
                <w:i w:val="0"/>
                <w:color w:val="4B4F58"/>
                <w:sz w:val="16"/>
              </w:rPr>
              <w:t>Information Commissioner's Office</w:t>
            </w:r>
          </w:p>
        </w:tc>
        <w:tc>
          <w:tcPr>
            <w:tcW w:type="dxa" w:w="4191"/>
            <w:tcMar>
              <w:top w:w="80" w:type="dxa"/>
              <w:start w:w="85" w:type="dxa"/>
              <w:bottom w:w="80" w:type="dxa"/>
              <w:end w:w="85" w:type="dxa"/>
            </w:tcMar>
          </w:tcPr>
          <w:p>
            <w:pPr>
              <w:spacing w:before="0" w:after="0" w:line="264" w:lineRule="auto"/>
            </w:pPr>
            <w:hyperlink r:id="rId17">
              <w:r>
                <w:rPr>
                  <w:rFonts w:ascii="Calibri" w:hAnsi="Calibri"/>
                  <w:color w:val="19455E"/>
                  <w:u w:val="single"/>
                  <w:sz w:val="15"/>
                </w:rPr>
                <w:t xml:space="preserve">https://ico.org.uk/for-organisations/uk-gdpr-guidance-and-resources/lawful-basis/legitimate-interests/</w:t>
              </w:r>
            </w:hyperlink>
          </w:p>
        </w:tc>
      </w:tr>
      <w:tr>
        <w:tc>
          <w:tcPr>
            <w:tcW w:type="dxa" w:w="499"/>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10</w:t>
            </w:r>
          </w:p>
        </w:tc>
        <w:tc>
          <w:tcPr>
            <w:tcW w:type="dxa" w:w="3293"/>
            <w:shd w:val="clear" w:color="auto" w:fill="F7F8FA"/>
            <w:tcMar>
              <w:top w:w="80" w:type="dxa"/>
              <w:start w:w="85" w:type="dxa"/>
              <w:bottom w:w="80" w:type="dxa"/>
              <w:end w:w="85" w:type="dxa"/>
            </w:tcMar>
          </w:tcPr>
          <w:p>
            <w:pPr>
              <w:spacing w:before="0" w:after="0" w:line="264" w:lineRule="auto"/>
            </w:pPr>
            <w:r>
              <w:rPr>
                <w:rFonts w:ascii="Calibri" w:hAnsi="Calibri"/>
                <w:b/>
                <w:i w:val="0"/>
                <w:color w:val="03273F"/>
                <w:sz w:val="16"/>
              </w:rPr>
              <w:t>Anonymisation guidance (anonymisation and pseudonymisation)</w:t>
            </w:r>
          </w:p>
        </w:tc>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Information Commissioner's Office</w:t>
            </w:r>
          </w:p>
        </w:tc>
        <w:tc>
          <w:tcPr>
            <w:tcW w:type="dxa" w:w="4191"/>
            <w:shd w:val="clear" w:color="auto" w:fill="F7F8FA"/>
            <w:tcMar>
              <w:top w:w="80" w:type="dxa"/>
              <w:start w:w="85" w:type="dxa"/>
              <w:bottom w:w="80" w:type="dxa"/>
              <w:end w:w="85" w:type="dxa"/>
            </w:tcMar>
          </w:tcPr>
          <w:p>
            <w:pPr>
              <w:spacing w:before="0" w:after="0" w:line="264" w:lineRule="auto"/>
            </w:pPr>
            <w:hyperlink r:id="rId13">
              <w:r>
                <w:rPr>
                  <w:rFonts w:ascii="Calibri" w:hAnsi="Calibri"/>
                  <w:color w:val="19455E"/>
                  <w:u w:val="single"/>
                  <w:sz w:val="15"/>
                </w:rPr>
                <w:t xml:space="preserve">https://ico.org.uk/for-organisations/uk-gdpr-guidance-and-resources/data-sharing/anonymisation/</w:t>
              </w:r>
            </w:hyperlink>
          </w:p>
        </w:tc>
      </w:tr>
      <w:tr>
        <w:tc>
          <w:tcPr>
            <w:tcW w:type="dxa" w:w="499"/>
            <w:tcMar>
              <w:top w:w="80" w:type="dxa"/>
              <w:start w:w="85" w:type="dxa"/>
              <w:bottom w:w="80" w:type="dxa"/>
              <w:end w:w="85" w:type="dxa"/>
            </w:tcMar>
          </w:tcPr>
          <w:p>
            <w:pPr>
              <w:spacing w:before="0" w:after="0" w:line="264" w:lineRule="auto"/>
            </w:pPr>
            <w:r>
              <w:rPr>
                <w:rFonts w:ascii="Calibri" w:hAnsi="Calibri"/>
                <w:b w:val="0"/>
                <w:i w:val="0"/>
                <w:color w:val="4B4F58"/>
                <w:sz w:val="16"/>
              </w:rPr>
              <w:t>11</w:t>
            </w:r>
          </w:p>
        </w:tc>
        <w:tc>
          <w:tcPr>
            <w:tcW w:type="dxa" w:w="3293"/>
            <w:tcMar>
              <w:top w:w="80" w:type="dxa"/>
              <w:start w:w="85" w:type="dxa"/>
              <w:bottom w:w="80" w:type="dxa"/>
              <w:end w:w="85" w:type="dxa"/>
            </w:tcMar>
          </w:tcPr>
          <w:p>
            <w:pPr>
              <w:spacing w:before="0" w:after="0" w:line="264" w:lineRule="auto"/>
            </w:pPr>
            <w:r>
              <w:rPr>
                <w:rFonts w:ascii="Calibri" w:hAnsi="Calibri"/>
                <w:b/>
                <w:i w:val="0"/>
                <w:color w:val="03273F"/>
                <w:sz w:val="16"/>
              </w:rPr>
              <w:t>Data (Use and Access) Act 2025</w:t>
            </w:r>
          </w:p>
        </w:tc>
        <w:tc>
          <w:tcPr>
            <w:tcW w:type="dxa" w:w="1996"/>
            <w:tcMar>
              <w:top w:w="80" w:type="dxa"/>
              <w:start w:w="85" w:type="dxa"/>
              <w:bottom w:w="80" w:type="dxa"/>
              <w:end w:w="85" w:type="dxa"/>
            </w:tcMar>
          </w:tcPr>
          <w:p>
            <w:pPr>
              <w:spacing w:before="0" w:after="0" w:line="264" w:lineRule="auto"/>
            </w:pPr>
            <w:r>
              <w:rPr>
                <w:rFonts w:ascii="Calibri" w:hAnsi="Calibri"/>
                <w:b w:val="0"/>
                <w:i w:val="0"/>
                <w:color w:val="4B4F58"/>
                <w:sz w:val="16"/>
              </w:rPr>
              <w:t>Legislation.gov.uk / UK Parliament</w:t>
            </w:r>
          </w:p>
        </w:tc>
        <w:tc>
          <w:tcPr>
            <w:tcW w:type="dxa" w:w="4191"/>
            <w:tcMar>
              <w:top w:w="80" w:type="dxa"/>
              <w:start w:w="85" w:type="dxa"/>
              <w:bottom w:w="80" w:type="dxa"/>
              <w:end w:w="85" w:type="dxa"/>
            </w:tcMar>
          </w:tcPr>
          <w:p>
            <w:pPr>
              <w:spacing w:before="0" w:after="0" w:line="264" w:lineRule="auto"/>
            </w:pPr>
            <w:hyperlink r:id="rId20">
              <w:r>
                <w:rPr>
                  <w:rFonts w:ascii="Calibri" w:hAnsi="Calibri"/>
                  <w:color w:val="19455E"/>
                  <w:u w:val="single"/>
                  <w:sz w:val="15"/>
                </w:rPr>
                <w:t xml:space="preserve">https://www.legislation.gov.uk/ukpga/2025/18/contents</w:t>
              </w:r>
            </w:hyperlink>
          </w:p>
        </w:tc>
      </w:tr>
      <w:tr>
        <w:tc>
          <w:tcPr>
            <w:tcW w:type="dxa" w:w="499"/>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12</w:t>
            </w:r>
          </w:p>
        </w:tc>
        <w:tc>
          <w:tcPr>
            <w:tcW w:type="dxa" w:w="3293"/>
            <w:shd w:val="clear" w:color="auto" w:fill="F7F8FA"/>
            <w:tcMar>
              <w:top w:w="80" w:type="dxa"/>
              <w:start w:w="85" w:type="dxa"/>
              <w:bottom w:w="80" w:type="dxa"/>
              <w:end w:w="85" w:type="dxa"/>
            </w:tcMar>
          </w:tcPr>
          <w:p>
            <w:pPr>
              <w:spacing w:before="0" w:after="0" w:line="264" w:lineRule="auto"/>
            </w:pPr>
            <w:r>
              <w:rPr>
                <w:rFonts w:ascii="Calibri" w:hAnsi="Calibri"/>
                <w:b/>
                <w:i w:val="0"/>
                <w:color w:val="03273F"/>
                <w:sz w:val="16"/>
              </w:rPr>
              <w:t>Update to the Surveillance Camera Code of Practice (2021 code)</w:t>
            </w:r>
          </w:p>
        </w:tc>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Home Office / GOV.UK</w:t>
            </w:r>
          </w:p>
        </w:tc>
        <w:tc>
          <w:tcPr>
            <w:tcW w:type="dxa" w:w="4191"/>
            <w:shd w:val="clear" w:color="auto" w:fill="F7F8FA"/>
            <w:tcMar>
              <w:top w:w="80" w:type="dxa"/>
              <w:start w:w="85" w:type="dxa"/>
              <w:bottom w:w="80" w:type="dxa"/>
              <w:end w:w="85" w:type="dxa"/>
            </w:tcMar>
          </w:tcPr>
          <w:p>
            <w:pPr>
              <w:spacing w:before="0" w:after="0" w:line="264" w:lineRule="auto"/>
            </w:pPr>
            <w:hyperlink r:id="rId25">
              <w:r>
                <w:rPr>
                  <w:rFonts w:ascii="Calibri" w:hAnsi="Calibri"/>
                  <w:color w:val="19455E"/>
                  <w:u w:val="single"/>
                  <w:sz w:val="15"/>
                </w:rPr>
                <w:t xml:space="preserve">https://www.gov.uk/government/publications/update-to-surveillance-camera-code</w:t>
              </w:r>
            </w:hyperlink>
          </w:p>
        </w:tc>
      </w:tr>
      <w:tr>
        <w:tc>
          <w:tcPr>
            <w:tcW w:type="dxa" w:w="499"/>
            <w:tcMar>
              <w:top w:w="80" w:type="dxa"/>
              <w:start w:w="85" w:type="dxa"/>
              <w:bottom w:w="80" w:type="dxa"/>
              <w:end w:w="85" w:type="dxa"/>
            </w:tcMar>
          </w:tcPr>
          <w:p>
            <w:pPr>
              <w:spacing w:before="0" w:after="0" w:line="264" w:lineRule="auto"/>
            </w:pPr>
            <w:r>
              <w:rPr>
                <w:rFonts w:ascii="Calibri" w:hAnsi="Calibri"/>
                <w:b w:val="0"/>
                <w:i w:val="0"/>
                <w:color w:val="4B4F58"/>
                <w:sz w:val="16"/>
              </w:rPr>
              <w:t>13</w:t>
            </w:r>
          </w:p>
        </w:tc>
        <w:tc>
          <w:tcPr>
            <w:tcW w:type="dxa" w:w="3293"/>
            <w:tcMar>
              <w:top w:w="80" w:type="dxa"/>
              <w:start w:w="85" w:type="dxa"/>
              <w:bottom w:w="80" w:type="dxa"/>
              <w:end w:w="85" w:type="dxa"/>
            </w:tcMar>
          </w:tcPr>
          <w:p>
            <w:pPr>
              <w:spacing w:before="0" w:after="0" w:line="264" w:lineRule="auto"/>
            </w:pPr>
            <w:r>
              <w:rPr>
                <w:rFonts w:ascii="Calibri" w:hAnsi="Calibri"/>
                <w:b/>
                <w:i w:val="0"/>
                <w:color w:val="03273F"/>
                <w:sz w:val="16"/>
              </w:rPr>
              <w:t>Surveillance Camera Code of Practice (2013 publication — WITHDRAWN)</w:t>
            </w:r>
          </w:p>
        </w:tc>
        <w:tc>
          <w:tcPr>
            <w:tcW w:type="dxa" w:w="1996"/>
            <w:tcMar>
              <w:top w:w="80" w:type="dxa"/>
              <w:start w:w="85" w:type="dxa"/>
              <w:bottom w:w="80" w:type="dxa"/>
              <w:end w:w="85" w:type="dxa"/>
            </w:tcMar>
          </w:tcPr>
          <w:p>
            <w:pPr>
              <w:spacing w:before="0" w:after="0" w:line="264" w:lineRule="auto"/>
            </w:pPr>
            <w:r>
              <w:rPr>
                <w:rFonts w:ascii="Calibri" w:hAnsi="Calibri"/>
                <w:b w:val="0"/>
                <w:i w:val="0"/>
                <w:color w:val="4B4F58"/>
                <w:sz w:val="16"/>
              </w:rPr>
              <w:t>Home Office / GOV.UK</w:t>
            </w:r>
          </w:p>
        </w:tc>
        <w:tc>
          <w:tcPr>
            <w:tcW w:type="dxa" w:w="4191"/>
            <w:tcMar>
              <w:top w:w="80" w:type="dxa"/>
              <w:start w:w="85" w:type="dxa"/>
              <w:bottom w:w="80" w:type="dxa"/>
              <w:end w:w="85" w:type="dxa"/>
            </w:tcMar>
          </w:tcPr>
          <w:p>
            <w:pPr>
              <w:spacing w:before="0" w:after="0" w:line="264" w:lineRule="auto"/>
            </w:pPr>
            <w:hyperlink r:id="rId26">
              <w:r>
                <w:rPr>
                  <w:rFonts w:ascii="Calibri" w:hAnsi="Calibri"/>
                  <w:color w:val="19455E"/>
                  <w:u w:val="single"/>
                  <w:sz w:val="15"/>
                </w:rPr>
                <w:t xml:space="preserve">https://www.gov.uk/government/publications/surveillance-camera-code-of-practice</w:t>
              </w:r>
            </w:hyperlink>
          </w:p>
        </w:tc>
      </w:tr>
      <w:tr>
        <w:tc>
          <w:tcPr>
            <w:tcW w:type="dxa" w:w="499"/>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14</w:t>
            </w:r>
          </w:p>
        </w:tc>
        <w:tc>
          <w:tcPr>
            <w:tcW w:type="dxa" w:w="3293"/>
            <w:shd w:val="clear" w:color="auto" w:fill="F7F8FA"/>
            <w:tcMar>
              <w:top w:w="80" w:type="dxa"/>
              <w:start w:w="85" w:type="dxa"/>
              <w:bottom w:w="80" w:type="dxa"/>
              <w:end w:w="85" w:type="dxa"/>
            </w:tcMar>
          </w:tcPr>
          <w:p>
            <w:pPr>
              <w:spacing w:before="0" w:after="0" w:line="264" w:lineRule="auto"/>
            </w:pPr>
            <w:r>
              <w:rPr>
                <w:rFonts w:ascii="Calibri" w:hAnsi="Calibri"/>
                <w:b/>
                <w:i w:val="0"/>
                <w:color w:val="03273F"/>
                <w:sz w:val="16"/>
              </w:rPr>
              <w:t>Protection of Freedoms Act 2012, Part 2 Chapter 1 (ss.29–36)</w:t>
            </w:r>
          </w:p>
        </w:tc>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Legislation.gov.uk</w:t>
            </w:r>
          </w:p>
        </w:tc>
        <w:tc>
          <w:tcPr>
            <w:tcW w:type="dxa" w:w="4191"/>
            <w:shd w:val="clear" w:color="auto" w:fill="F7F8FA"/>
            <w:tcMar>
              <w:top w:w="80" w:type="dxa"/>
              <w:start w:w="85" w:type="dxa"/>
              <w:bottom w:w="80" w:type="dxa"/>
              <w:end w:w="85" w:type="dxa"/>
            </w:tcMar>
          </w:tcPr>
          <w:p>
            <w:pPr>
              <w:spacing w:before="0" w:after="0" w:line="264" w:lineRule="auto"/>
            </w:pPr>
            <w:hyperlink r:id="rId27">
              <w:r>
                <w:rPr>
                  <w:rFonts w:ascii="Calibri" w:hAnsi="Calibri"/>
                  <w:color w:val="19455E"/>
                  <w:u w:val="single"/>
                  <w:sz w:val="15"/>
                </w:rPr>
                <w:t xml:space="preserve">https://www.legislation.gov.uk/ukpga/2012/9/part/2/chapter/1</w:t>
              </w:r>
            </w:hyperlink>
          </w:p>
        </w:tc>
      </w:tr>
      <w:tr>
        <w:tc>
          <w:tcPr>
            <w:tcW w:type="dxa" w:w="499"/>
            <w:tcMar>
              <w:top w:w="80" w:type="dxa"/>
              <w:start w:w="85" w:type="dxa"/>
              <w:bottom w:w="80" w:type="dxa"/>
              <w:end w:w="85" w:type="dxa"/>
            </w:tcMar>
          </w:tcPr>
          <w:p>
            <w:pPr>
              <w:spacing w:before="0" w:after="0" w:line="264" w:lineRule="auto"/>
            </w:pPr>
            <w:r>
              <w:rPr>
                <w:rFonts w:ascii="Calibri" w:hAnsi="Calibri"/>
                <w:b w:val="0"/>
                <w:i w:val="0"/>
                <w:color w:val="4B4F58"/>
                <w:sz w:val="16"/>
              </w:rPr>
              <w:t>15</w:t>
            </w:r>
          </w:p>
        </w:tc>
        <w:tc>
          <w:tcPr>
            <w:tcW w:type="dxa" w:w="3293"/>
            <w:tcMar>
              <w:top w:w="80" w:type="dxa"/>
              <w:start w:w="85" w:type="dxa"/>
              <w:bottom w:w="80" w:type="dxa"/>
              <w:end w:w="85" w:type="dxa"/>
            </w:tcMar>
          </w:tcPr>
          <w:p>
            <w:pPr>
              <w:spacing w:before="0" w:after="0" w:line="264" w:lineRule="auto"/>
            </w:pPr>
            <w:r>
              <w:rPr>
                <w:rFonts w:ascii="Calibri" w:hAnsi="Calibri"/>
                <w:b/>
                <w:i w:val="0"/>
                <w:color w:val="03273F"/>
                <w:sz w:val="16"/>
              </w:rPr>
              <w:t>VDV-Schrift 457 — Automatic passenger counting systems (current version page)</w:t>
            </w:r>
          </w:p>
        </w:tc>
        <w:tc>
          <w:tcPr>
            <w:tcW w:type="dxa" w:w="1996"/>
            <w:tcMar>
              <w:top w:w="80" w:type="dxa"/>
              <w:start w:w="85" w:type="dxa"/>
              <w:bottom w:w="80" w:type="dxa"/>
              <w:end w:w="85" w:type="dxa"/>
            </w:tcMar>
          </w:tcPr>
          <w:p>
            <w:pPr>
              <w:spacing w:before="0" w:after="0" w:line="264" w:lineRule="auto"/>
            </w:pPr>
            <w:r>
              <w:rPr>
                <w:rFonts w:ascii="Calibri" w:hAnsi="Calibri"/>
                <w:b w:val="0"/>
                <w:i w:val="0"/>
                <w:color w:val="4B4F58"/>
                <w:sz w:val="16"/>
              </w:rPr>
              <w:t>Verband Deutscher Verkehrsunternehmen (VDV)</w:t>
            </w:r>
          </w:p>
        </w:tc>
        <w:tc>
          <w:tcPr>
            <w:tcW w:type="dxa" w:w="4191"/>
            <w:tcMar>
              <w:top w:w="80" w:type="dxa"/>
              <w:start w:w="85" w:type="dxa"/>
              <w:bottom w:w="80" w:type="dxa"/>
              <w:end w:w="85" w:type="dxa"/>
            </w:tcMar>
          </w:tcPr>
          <w:p>
            <w:pPr>
              <w:spacing w:before="0" w:after="0" w:line="264" w:lineRule="auto"/>
            </w:pPr>
            <w:hyperlink r:id="rId15">
              <w:r>
                <w:rPr>
                  <w:rFonts w:ascii="Calibri" w:hAnsi="Calibri"/>
                  <w:color w:val="19455E"/>
                  <w:u w:val="single"/>
                  <w:sz w:val="15"/>
                </w:rPr>
                <w:t xml:space="preserve">https://www.vdv.de/afzs.aspx</w:t>
              </w:r>
            </w:hyperlink>
          </w:p>
        </w:tc>
      </w:tr>
      <w:tr>
        <w:tc>
          <w:tcPr>
            <w:tcW w:type="dxa" w:w="499"/>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16</w:t>
            </w:r>
          </w:p>
        </w:tc>
        <w:tc>
          <w:tcPr>
            <w:tcW w:type="dxa" w:w="3293"/>
            <w:shd w:val="clear" w:color="auto" w:fill="F7F8FA"/>
            <w:tcMar>
              <w:top w:w="80" w:type="dxa"/>
              <w:start w:w="85" w:type="dxa"/>
              <w:bottom w:w="80" w:type="dxa"/>
              <w:end w:w="85" w:type="dxa"/>
            </w:tcMar>
          </w:tcPr>
          <w:p>
            <w:pPr>
              <w:spacing w:before="0" w:after="0" w:line="264" w:lineRule="auto"/>
            </w:pPr>
            <w:r>
              <w:rPr>
                <w:rFonts w:ascii="Calibri" w:hAnsi="Calibri"/>
                <w:b/>
                <w:i w:val="0"/>
                <w:color w:val="03273F"/>
                <w:sz w:val="16"/>
              </w:rPr>
              <w:t>VDV Recommendation 457 v2.1 (04/2018), published English text</w:t>
            </w:r>
          </w:p>
        </w:tc>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Verband Deutscher Verkehrsunternehmen (VDV)</w:t>
            </w:r>
          </w:p>
        </w:tc>
        <w:tc>
          <w:tcPr>
            <w:tcW w:type="dxa" w:w="4191"/>
            <w:shd w:val="clear" w:color="auto" w:fill="F7F8FA"/>
            <w:tcMar>
              <w:top w:w="80" w:type="dxa"/>
              <w:start w:w="85" w:type="dxa"/>
              <w:bottom w:w="80" w:type="dxa"/>
              <w:end w:w="85" w:type="dxa"/>
            </w:tcMar>
          </w:tcPr>
          <w:p>
            <w:pPr>
              <w:spacing w:before="0" w:after="0" w:line="264" w:lineRule="auto"/>
            </w:pPr>
            <w:hyperlink r:id="rId28">
              <w:r>
                <w:rPr>
                  <w:rFonts w:ascii="Calibri" w:hAnsi="Calibri"/>
                  <w:color w:val="19455E"/>
                  <w:u w:val="single"/>
                  <w:sz w:val="15"/>
                </w:rPr>
                <w:t xml:space="preserve">https://www.vdv.de/457-v2.1-ses.pdfx</w:t>
              </w:r>
            </w:hyperlink>
          </w:p>
        </w:tc>
      </w:tr>
      <w:tr>
        <w:tc>
          <w:tcPr>
            <w:tcW w:type="dxa" w:w="499"/>
            <w:tcMar>
              <w:top w:w="80" w:type="dxa"/>
              <w:start w:w="85" w:type="dxa"/>
              <w:bottom w:w="80" w:type="dxa"/>
              <w:end w:w="85" w:type="dxa"/>
            </w:tcMar>
          </w:tcPr>
          <w:p>
            <w:pPr>
              <w:spacing w:before="0" w:after="0" w:line="264" w:lineRule="auto"/>
            </w:pPr>
            <w:r>
              <w:rPr>
                <w:rFonts w:ascii="Calibri" w:hAnsi="Calibri"/>
                <w:b w:val="0"/>
                <w:i w:val="0"/>
                <w:color w:val="4B4F58"/>
                <w:sz w:val="16"/>
              </w:rPr>
              <w:t>17</w:t>
            </w:r>
          </w:p>
        </w:tc>
        <w:tc>
          <w:tcPr>
            <w:tcW w:type="dxa" w:w="3293"/>
            <w:tcMar>
              <w:top w:w="80" w:type="dxa"/>
              <w:start w:w="85" w:type="dxa"/>
              <w:bottom w:w="80" w:type="dxa"/>
              <w:end w:w="85" w:type="dxa"/>
            </w:tcMar>
          </w:tcPr>
          <w:p>
            <w:pPr>
              <w:spacing w:before="0" w:after="0" w:line="264" w:lineRule="auto"/>
            </w:pPr>
            <w:r>
              <w:rPr>
                <w:rFonts w:ascii="Calibri" w:hAnsi="Calibri"/>
                <w:b/>
                <w:i w:val="0"/>
                <w:color w:val="03273F"/>
                <w:sz w:val="16"/>
              </w:rPr>
              <w:t>Bus Open Data Service — operator requirements (bus location profile)</w:t>
            </w:r>
          </w:p>
        </w:tc>
        <w:tc>
          <w:tcPr>
            <w:tcW w:type="dxa" w:w="1996"/>
            <w:tcMar>
              <w:top w:w="80" w:type="dxa"/>
              <w:start w:w="85" w:type="dxa"/>
              <w:bottom w:w="80" w:type="dxa"/>
              <w:end w:w="85" w:type="dxa"/>
            </w:tcMar>
          </w:tcPr>
          <w:p>
            <w:pPr>
              <w:spacing w:before="0" w:after="0" w:line="264" w:lineRule="auto"/>
            </w:pPr>
            <w:r>
              <w:rPr>
                <w:rFonts w:ascii="Calibri" w:hAnsi="Calibri"/>
                <w:b w:val="0"/>
                <w:i w:val="0"/>
                <w:color w:val="4B4F58"/>
                <w:sz w:val="16"/>
              </w:rPr>
              <w:t>Department for Transport</w:t>
            </w:r>
          </w:p>
        </w:tc>
        <w:tc>
          <w:tcPr>
            <w:tcW w:type="dxa" w:w="4191"/>
            <w:tcMar>
              <w:top w:w="80" w:type="dxa"/>
              <w:start w:w="85" w:type="dxa"/>
              <w:bottom w:w="80" w:type="dxa"/>
              <w:end w:w="85" w:type="dxa"/>
            </w:tcMar>
          </w:tcPr>
          <w:p>
            <w:pPr>
              <w:spacing w:before="0" w:after="0" w:line="264" w:lineRule="auto"/>
            </w:pPr>
            <w:hyperlink r:id="rId14">
              <w:r>
                <w:rPr>
                  <w:rFonts w:ascii="Calibri" w:hAnsi="Calibri"/>
                  <w:color w:val="19455E"/>
                  <w:u w:val="single"/>
                  <w:sz w:val="15"/>
                </w:rPr>
                <w:t xml:space="preserve">https://publish.bus-data.dft.gov.uk/guidance/operator-requirements/?section=buslocation</w:t>
              </w:r>
            </w:hyperlink>
          </w:p>
        </w:tc>
      </w:tr>
      <w:tr>
        <w:tc>
          <w:tcPr>
            <w:tcW w:type="dxa" w:w="499"/>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18</w:t>
            </w:r>
          </w:p>
        </w:tc>
        <w:tc>
          <w:tcPr>
            <w:tcW w:type="dxa" w:w="3293"/>
            <w:shd w:val="clear" w:color="auto" w:fill="F7F8FA"/>
            <w:tcMar>
              <w:top w:w="80" w:type="dxa"/>
              <w:start w:w="85" w:type="dxa"/>
              <w:bottom w:w="80" w:type="dxa"/>
              <w:end w:w="85" w:type="dxa"/>
            </w:tcMar>
          </w:tcPr>
          <w:p>
            <w:pPr>
              <w:spacing w:before="0" w:after="0" w:line="264" w:lineRule="auto"/>
            </w:pPr>
            <w:r>
              <w:rPr>
                <w:rFonts w:ascii="Calibri" w:hAnsi="Calibri"/>
                <w:b/>
                <w:i w:val="0"/>
                <w:color w:val="03273F"/>
                <w:sz w:val="16"/>
              </w:rPr>
              <w:t>The Public Service Vehicles (Open Data) (England) Regulations 2020 (SI 2020/749)</w:t>
            </w:r>
          </w:p>
        </w:tc>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Legislation.gov.uk</w:t>
            </w:r>
          </w:p>
        </w:tc>
        <w:tc>
          <w:tcPr>
            <w:tcW w:type="dxa" w:w="4191"/>
            <w:shd w:val="clear" w:color="auto" w:fill="F7F8FA"/>
            <w:tcMar>
              <w:top w:w="80" w:type="dxa"/>
              <w:start w:w="85" w:type="dxa"/>
              <w:bottom w:w="80" w:type="dxa"/>
              <w:end w:w="85" w:type="dxa"/>
            </w:tcMar>
          </w:tcPr>
          <w:p>
            <w:pPr>
              <w:spacing w:before="0" w:after="0" w:line="264" w:lineRule="auto"/>
            </w:pPr>
            <w:hyperlink r:id="rId29">
              <w:r>
                <w:rPr>
                  <w:rFonts w:ascii="Calibri" w:hAnsi="Calibri"/>
                  <w:color w:val="19455E"/>
                  <w:u w:val="single"/>
                  <w:sz w:val="15"/>
                </w:rPr>
                <w:t xml:space="preserve">https://www.legislation.gov.uk/uksi/2020/749/contents</w:t>
              </w:r>
            </w:hyperlink>
          </w:p>
        </w:tc>
      </w:tr>
      <w:tr>
        <w:tc>
          <w:tcPr>
            <w:tcW w:type="dxa" w:w="499"/>
            <w:tcMar>
              <w:top w:w="80" w:type="dxa"/>
              <w:start w:w="85" w:type="dxa"/>
              <w:bottom w:w="80" w:type="dxa"/>
              <w:end w:w="85" w:type="dxa"/>
            </w:tcMar>
          </w:tcPr>
          <w:p>
            <w:pPr>
              <w:spacing w:before="0" w:after="0" w:line="264" w:lineRule="auto"/>
            </w:pPr>
            <w:r>
              <w:rPr>
                <w:rFonts w:ascii="Calibri" w:hAnsi="Calibri"/>
                <w:b w:val="0"/>
                <w:i w:val="0"/>
                <w:color w:val="4B4F58"/>
                <w:sz w:val="16"/>
              </w:rPr>
              <w:t>19</w:t>
            </w:r>
          </w:p>
        </w:tc>
        <w:tc>
          <w:tcPr>
            <w:tcW w:type="dxa" w:w="3293"/>
            <w:tcMar>
              <w:top w:w="80" w:type="dxa"/>
              <w:start w:w="85" w:type="dxa"/>
              <w:bottom w:w="80" w:type="dxa"/>
              <w:end w:w="85" w:type="dxa"/>
            </w:tcMar>
          </w:tcPr>
          <w:p>
            <w:pPr>
              <w:spacing w:before="0" w:after="0" w:line="264" w:lineRule="auto"/>
            </w:pPr>
            <w:r>
              <w:rPr>
                <w:rFonts w:ascii="Calibri" w:hAnsi="Calibri"/>
                <w:b/>
                <w:i w:val="0"/>
                <w:color w:val="03273F"/>
                <w:sz w:val="16"/>
              </w:rPr>
              <w:t>ISO/IEC 27001 — information security management (overview)</w:t>
            </w:r>
          </w:p>
        </w:tc>
        <w:tc>
          <w:tcPr>
            <w:tcW w:type="dxa" w:w="1996"/>
            <w:tcMar>
              <w:top w:w="80" w:type="dxa"/>
              <w:start w:w="85" w:type="dxa"/>
              <w:bottom w:w="80" w:type="dxa"/>
              <w:end w:w="85" w:type="dxa"/>
            </w:tcMar>
          </w:tcPr>
          <w:p>
            <w:pPr>
              <w:spacing w:before="0" w:after="0" w:line="264" w:lineRule="auto"/>
            </w:pPr>
            <w:r>
              <w:rPr>
                <w:rFonts w:ascii="Calibri" w:hAnsi="Calibri"/>
                <w:b w:val="0"/>
                <w:i w:val="0"/>
                <w:color w:val="4B4F58"/>
                <w:sz w:val="16"/>
              </w:rPr>
              <w:t>International Organization for Standardization</w:t>
            </w:r>
          </w:p>
        </w:tc>
        <w:tc>
          <w:tcPr>
            <w:tcW w:type="dxa" w:w="4191"/>
            <w:tcMar>
              <w:top w:w="80" w:type="dxa"/>
              <w:start w:w="85" w:type="dxa"/>
              <w:bottom w:w="80" w:type="dxa"/>
              <w:end w:w="85" w:type="dxa"/>
            </w:tcMar>
          </w:tcPr>
          <w:p>
            <w:pPr>
              <w:spacing w:before="0" w:after="0" w:line="264" w:lineRule="auto"/>
            </w:pPr>
            <w:hyperlink r:id="rId23">
              <w:r>
                <w:rPr>
                  <w:rFonts w:ascii="Calibri" w:hAnsi="Calibri"/>
                  <w:color w:val="19455E"/>
                  <w:u w:val="single"/>
                  <w:sz w:val="15"/>
                </w:rPr>
                <w:t xml:space="preserve">https://www.iso.org/isoiec-27001-information-security.html</w:t>
              </w:r>
            </w:hyperlink>
          </w:p>
        </w:tc>
      </w:tr>
      <w:tr>
        <w:tc>
          <w:tcPr>
            <w:tcW w:type="dxa" w:w="499"/>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20</w:t>
            </w:r>
          </w:p>
        </w:tc>
        <w:tc>
          <w:tcPr>
            <w:tcW w:type="dxa" w:w="3293"/>
            <w:shd w:val="clear" w:color="auto" w:fill="F7F8FA"/>
            <w:tcMar>
              <w:top w:w="80" w:type="dxa"/>
              <w:start w:w="85" w:type="dxa"/>
              <w:bottom w:w="80" w:type="dxa"/>
              <w:end w:w="85" w:type="dxa"/>
            </w:tcMar>
          </w:tcPr>
          <w:p>
            <w:pPr>
              <w:spacing w:before="0" w:after="0" w:line="264" w:lineRule="auto"/>
            </w:pPr>
            <w:r>
              <w:rPr>
                <w:rFonts w:ascii="Calibri" w:hAnsi="Calibri"/>
                <w:b/>
                <w:i w:val="0"/>
                <w:color w:val="03273F"/>
                <w:sz w:val="16"/>
              </w:rPr>
              <w:t>Cyber Essentials — overview</w:t>
            </w:r>
          </w:p>
        </w:tc>
        <w:tc>
          <w:tcPr>
            <w:tcW w:type="dxa" w:w="1996"/>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National Cyber Security Centre</w:t>
            </w:r>
          </w:p>
        </w:tc>
        <w:tc>
          <w:tcPr>
            <w:tcW w:type="dxa" w:w="4191"/>
            <w:shd w:val="clear" w:color="auto" w:fill="F7F8FA"/>
            <w:tcMar>
              <w:top w:w="80" w:type="dxa"/>
              <w:start w:w="85" w:type="dxa"/>
              <w:bottom w:w="80" w:type="dxa"/>
              <w:end w:w="85" w:type="dxa"/>
            </w:tcMar>
          </w:tcPr>
          <w:p>
            <w:pPr>
              <w:spacing w:before="0" w:after="0" w:line="264" w:lineRule="auto"/>
            </w:pPr>
            <w:hyperlink r:id="rId22">
              <w:r>
                <w:rPr>
                  <w:rFonts w:ascii="Calibri" w:hAnsi="Calibri"/>
                  <w:color w:val="19455E"/>
                  <w:u w:val="single"/>
                  <w:sz w:val="15"/>
                </w:rPr>
                <w:t xml:space="preserve">https://www.ncsc.gov.uk/cyberessentials/overview</w:t>
              </w:r>
            </w:hyperlink>
          </w:p>
        </w:tc>
      </w:tr>
    </w:tbl>
    <w:p>
      <w:pPr>
        <w:spacing w:before="0" w:after="100" w:line="240" w:lineRule="auto"/>
      </w:pPr>
    </w:p>
    <w:p>
      <w:pPr>
        <w:keepNext/>
        <w:spacing w:before="180" w:after="60" w:line="264" w:lineRule="auto"/>
      </w:pPr>
      <w:r>
        <w:rPr>
          <w:rFonts w:ascii="Calibri" w:hAnsi="Calibri"/>
          <w:b/>
          <w:i w:val="0"/>
          <w:color w:val="03273F"/>
          <w:sz w:val="24"/>
        </w:rPr>
        <w:t>Two status caveats that matter for this pack</w:t>
      </w:r>
    </w:p>
    <w:tbl>
      <w:tblPr>
        <w:tblW w:type="auto" w:w="0"/>
        <w:tblBorders>
          <w:top w:val="single" w:sz="6" w:space="0" w:color="DCE3EA"/>
          <w:left w:val="single" w:sz="6" w:space="0" w:color="DCE3EA"/>
          <w:bottom w:val="single" w:sz="6" w:space="0" w:color="DCE3EA"/>
          <w:right w:val="single" w:sz="6" w:space="0" w:color="DCE3EA"/>
        </w:tblBorders>
        <w:tblLayout w:type="fixed"/>
        <w:tblLook w:firstColumn="1" w:firstRow="1" w:lastColumn="0" w:lastRow="0" w:noHBand="0" w:noVBand="1" w:val="04A0"/>
      </w:tblPr>
      <w:tblGrid>
        <w:gridCol w:w="9978"/>
      </w:tblGrid>
      <w:tr>
        <w:tc>
          <w:tcPr>
            <w:tcW w:type="dxa" w:w="9978"/>
            <w:shd w:val="clear" w:color="auto" w:fill="F4F7FA"/>
            <w:tcMar>
              <w:top w:w="130" w:type="dxa"/>
              <w:start w:w="160" w:type="dxa"/>
              <w:bottom w:w="130" w:type="dxa"/>
              <w:end w:w="160" w:type="dxa"/>
            </w:tcMar>
          </w:tcPr>
          <w:p>
            <w:pPr>
              <w:spacing w:before="0" w:after="60" w:line="264" w:lineRule="auto"/>
            </w:pPr>
            <w:r>
              <w:rPr>
                <w:rFonts w:ascii="Calibri" w:hAnsi="Calibri"/>
                <w:b/>
                <w:i w:val="0"/>
                <w:color w:val="03273F"/>
                <w:sz w:val="20"/>
              </w:rPr>
              <w:t>Data (Use and Access) Act 2025</w:t>
            </w:r>
          </w:p>
          <w:p>
            <w:pPr>
              <w:spacing w:before="0" w:after="60" w:line="283" w:lineRule="auto"/>
            </w:pPr>
            <w:r>
              <w:rPr>
                <w:rFonts w:ascii="Calibri" w:hAnsi="Calibri"/>
                <w:b w:val="0"/>
                <w:i w:val="0"/>
                <w:color w:val="2C3338"/>
                <w:sz w:val="18"/>
              </w:rPr>
              <w:t>The Data (Use and Access) Act 2025 amended UK data protection law, and the ICO has stated that its guidance is being updated in consequence. Pre-2025 summaries of DPIA obligations, lawful basis or rights handling — including third-party articles and older internal templates — should not be relied on for a conclusion. Confirm the current position from the revised legislation and the ICO’s updated guidance, and take your DPO’s view at the point of decision. On the primary sources checked for this pack, no provision was verified that repeals the Protection of Freedoms Act 2012 surveillance-camera code framework.</w:t>
            </w:r>
          </w:p>
        </w:tc>
      </w:tr>
    </w:tbl>
    <w:p>
      <w:pPr>
        <w:spacing w:before="0" w:after="80" w:line="240" w:lineRule="auto"/>
      </w:pPr>
    </w:p>
    <w:tbl>
      <w:tblPr>
        <w:tblW w:type="auto" w:w="0"/>
        <w:tblBorders>
          <w:top w:val="single" w:sz="6" w:space="0" w:color="DCE3EA"/>
          <w:left w:val="single" w:sz="6" w:space="0" w:color="DCE3EA"/>
          <w:bottom w:val="single" w:sz="6" w:space="0" w:color="DCE3EA"/>
          <w:right w:val="single" w:sz="6" w:space="0" w:color="DCE3EA"/>
        </w:tblBorders>
        <w:tblLayout w:type="fixed"/>
        <w:tblLook w:firstColumn="1" w:firstRow="1" w:lastColumn="0" w:lastRow="0" w:noHBand="0" w:noVBand="1" w:val="04A0"/>
      </w:tblPr>
      <w:tblGrid>
        <w:gridCol w:w="9978"/>
      </w:tblGrid>
      <w:tr>
        <w:tc>
          <w:tcPr>
            <w:tcW w:type="dxa" w:w="9978"/>
            <w:shd w:val="clear" w:color="auto" w:fill="F4F7FA"/>
            <w:tcMar>
              <w:top w:w="130" w:type="dxa"/>
              <w:start w:w="160" w:type="dxa"/>
              <w:bottom w:w="130" w:type="dxa"/>
              <w:end w:w="160" w:type="dxa"/>
            </w:tcMar>
          </w:tcPr>
          <w:p>
            <w:pPr>
              <w:spacing w:before="0" w:after="60" w:line="264" w:lineRule="auto"/>
            </w:pPr>
            <w:r>
              <w:rPr>
                <w:rFonts w:ascii="Calibri" w:hAnsi="Calibri"/>
                <w:b/>
                <w:i w:val="0"/>
                <w:color w:val="03273F"/>
                <w:sz w:val="20"/>
              </w:rPr>
              <w:t>Surveillance Camera Code of Practice</w:t>
            </w:r>
          </w:p>
          <w:p>
            <w:pPr>
              <w:spacing w:before="0" w:after="60" w:line="283" w:lineRule="auto"/>
            </w:pPr>
            <w:r>
              <w:rPr>
                <w:rFonts w:ascii="Calibri" w:hAnsi="Calibri"/>
                <w:b w:val="0"/>
                <w:i w:val="0"/>
                <w:color w:val="2C3338"/>
                <w:sz w:val="18"/>
              </w:rPr>
              <w:t>The revised Surveillance Camera Code of Practice was laid under section 31(3) of the Protection of Freedoms Act 2012 on 16 November 2021 and came into force on 12 January 2022. The statutory framework in sections 29 to 36 of that Act remains in force as revised legislation. The code is directed chiefly at police forces and local authorities in England and Wales rather than at commercial operators generally, and it is guidance rather than a product certification. The earlier 2013 GOV.UK publication of the code is marked withdrawn and should not be cited as current.</w:t>
            </w:r>
          </w:p>
        </w:tc>
      </w:tr>
    </w:tbl>
    <w:p>
      <w:pPr>
        <w:spacing w:before="0" w:after="80" w:line="240" w:lineRule="auto"/>
      </w:pPr>
    </w:p>
    <w:tbl>
      <w:tblPr>
        <w:tblW w:type="auto" w:w="0"/>
        <w:jc w:val="left"/>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9978"/>
      </w:tblGrid>
      <w:tr>
        <w:trPr>
          <w:cantSplit/>
        </w:trPr>
        <w:tc>
          <w:tcPr>
            <w:tcW w:type="dxa" w:w="9978"/>
            <w:shd w:val="clear" w:color="auto" w:fill="03273F"/>
            <w:tcMar>
              <w:top w:w="150" w:type="dxa"/>
              <w:start w:w="170" w:type="dxa"/>
              <w:bottom w:w="150" w:type="dxa"/>
              <w:end w:w="170" w:type="dxa"/>
            </w:tcMar>
          </w:tcPr>
          <w:p>
            <w:pPr>
              <w:keepNext/>
              <w:spacing w:before="0" w:after="0" w:line="264" w:lineRule="auto"/>
            </w:pPr>
            <w:r>
              <w:rPr>
                <w:rFonts w:ascii="Calibri" w:hAnsi="Calibri"/>
                <w:b/>
                <w:color w:val="FFFFFF"/>
                <w:sz w:val="30"/>
              </w:rPr>
              <w:t>How Smart Urban Sensing supports your DPIA</w:t>
            </w:r>
          </w:p>
        </w:tc>
      </w:tr>
    </w:tbl>
    <w:p>
      <w:pPr>
        <w:keepNext/>
        <w:spacing w:before="0" w:after="60" w:line="240" w:lineRule="auto"/>
      </w:pPr>
    </w:p>
    <w:p>
      <w:pPr>
        <w:spacing w:before="0" w:after="100" w:line="283" w:lineRule="auto"/>
      </w:pPr>
      <w:r>
        <w:rPr>
          <w:rFonts w:ascii="Calibri" w:hAnsi="Calibri"/>
          <w:b w:val="0"/>
          <w:i w:val="0"/>
          <w:color w:val="4B4F58"/>
          <w:sz w:val="19"/>
        </w:rPr>
        <w:t>We publish this pack because a good DPIA makes for a better deployment, and because the questions in it are the questions we would want asked of any supplier, including us. The assessment is yours. What we can do is make the inputs to it reliable.</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2993"/>
        <w:gridCol w:w="6985"/>
      </w:tblGrid>
      <w:tr>
        <w:trPr>
          <w:tblHeader w:val="true"/>
        </w:trPr>
        <w:tc>
          <w:tcPr>
            <w:tcW w:type="dxa" w:w="29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What we provide</w:t>
            </w:r>
          </w:p>
        </w:tc>
        <w:tc>
          <w:tcPr>
            <w:tcW w:type="dxa" w:w="6985"/>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What it contains</w:t>
            </w:r>
          </w:p>
        </w:tc>
      </w:tr>
      <w:tr>
        <w:tc>
          <w:tcPr>
            <w:tcW w:type="dxa" w:w="2993"/>
            <w:tcMar>
              <w:top w:w="80" w:type="dxa"/>
              <w:start w:w="85" w:type="dxa"/>
              <w:bottom w:w="80" w:type="dxa"/>
              <w:end w:w="85" w:type="dxa"/>
            </w:tcMar>
          </w:tcPr>
          <w:p>
            <w:pPr>
              <w:spacing w:before="0" w:after="0" w:line="264" w:lineRule="auto"/>
            </w:pPr>
            <w:r>
              <w:rPr>
                <w:rFonts w:ascii="Calibri" w:hAnsi="Calibri"/>
                <w:b/>
                <w:i w:val="0"/>
                <w:color w:val="2C3338"/>
                <w:sz w:val="16"/>
              </w:rPr>
              <w:t>Completed supplier sections</w:t>
            </w:r>
          </w:p>
        </w:tc>
        <w:tc>
          <w:tcPr>
            <w:tcW w:type="dxa" w:w="6985"/>
            <w:tcMar>
              <w:top w:w="80" w:type="dxa"/>
              <w:start w:w="85" w:type="dxa"/>
              <w:bottom w:w="80" w:type="dxa"/>
              <w:end w:w="85" w:type="dxa"/>
            </w:tcMar>
          </w:tcPr>
          <w:p>
            <w:pPr>
              <w:spacing w:before="0" w:after="0" w:line="264" w:lineRule="auto"/>
            </w:pPr>
            <w:r>
              <w:rPr>
                <w:rFonts w:ascii="Calibri" w:hAnsi="Calibri"/>
                <w:b w:val="0"/>
                <w:i w:val="0"/>
                <w:color w:val="4B4F58"/>
                <w:sz w:val="16"/>
              </w:rPr>
              <w:t>Annex A answered in writing for your specific configuration, with evidence attached, so your DPIA rests on documented fact rather than on a brochure.</w:t>
            </w:r>
          </w:p>
        </w:tc>
      </w:tr>
      <w:tr>
        <w:tc>
          <w:tcPr>
            <w:tcW w:type="dxa" w:w="2993"/>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Data-flow documentation</w:t>
            </w:r>
          </w:p>
        </w:tc>
        <w:tc>
          <w:tcPr>
            <w:tcW w:type="dxa" w:w="6985"/>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A component-level diagram from sensor to export, the data held at each stage, and the verification steps you can run yourself to confirm what does and does not leave the vehicle.</w:t>
            </w:r>
          </w:p>
        </w:tc>
      </w:tr>
      <w:tr>
        <w:tc>
          <w:tcPr>
            <w:tcW w:type="dxa" w:w="2993"/>
            <w:tcMar>
              <w:top w:w="80" w:type="dxa"/>
              <w:start w:w="85" w:type="dxa"/>
              <w:bottom w:w="80" w:type="dxa"/>
              <w:end w:w="85" w:type="dxa"/>
            </w:tcMar>
          </w:tcPr>
          <w:p>
            <w:pPr>
              <w:spacing w:before="0" w:after="0" w:line="264" w:lineRule="auto"/>
            </w:pPr>
            <w:r>
              <w:rPr>
                <w:rFonts w:ascii="Calibri" w:hAnsi="Calibri"/>
                <w:b/>
                <w:i w:val="0"/>
                <w:color w:val="2C3338"/>
                <w:sz w:val="16"/>
              </w:rPr>
              <w:t>Retention configuration</w:t>
            </w:r>
          </w:p>
        </w:tc>
        <w:tc>
          <w:tcPr>
            <w:tcW w:type="dxa" w:w="6985"/>
            <w:tcMar>
              <w:top w:w="80" w:type="dxa"/>
              <w:start w:w="85" w:type="dxa"/>
              <w:bottom w:w="80" w:type="dxa"/>
              <w:end w:w="85" w:type="dxa"/>
            </w:tcMar>
          </w:tcPr>
          <w:p>
            <w:pPr>
              <w:spacing w:before="0" w:after="0" w:line="264" w:lineRule="auto"/>
            </w:pPr>
            <w:r>
              <w:rPr>
                <w:rFonts w:ascii="Calibri" w:hAnsi="Calibri"/>
                <w:b w:val="0"/>
                <w:i w:val="0"/>
                <w:color w:val="4B4F58"/>
                <w:sz w:val="16"/>
              </w:rPr>
              <w:t>Retention periods configured per data class to your schedule, with deletion enforced automatically and deletion evidence available on request.</w:t>
            </w:r>
          </w:p>
        </w:tc>
      </w:tr>
      <w:tr>
        <w:tc>
          <w:tcPr>
            <w:tcW w:type="dxa" w:w="2993"/>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Accuracy validation support</w:t>
            </w:r>
          </w:p>
        </w:tc>
        <w:tc>
          <w:tcPr>
            <w:tcW w:type="dxa" w:w="6985"/>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A per-installation validation against manual reference counts, with the result recorded per door and per route, and re-validation after changes affecting the count core.</w:t>
            </w:r>
          </w:p>
        </w:tc>
      </w:tr>
      <w:tr>
        <w:tc>
          <w:tcPr>
            <w:tcW w:type="dxa" w:w="2993"/>
            <w:tcMar>
              <w:top w:w="80" w:type="dxa"/>
              <w:start w:w="85" w:type="dxa"/>
              <w:bottom w:w="80" w:type="dxa"/>
              <w:end w:w="85" w:type="dxa"/>
            </w:tcMar>
          </w:tcPr>
          <w:p>
            <w:pPr>
              <w:spacing w:before="0" w:after="0" w:line="264" w:lineRule="auto"/>
            </w:pPr>
            <w:r>
              <w:rPr>
                <w:rFonts w:ascii="Calibri" w:hAnsi="Calibri"/>
                <w:b/>
                <w:i w:val="0"/>
                <w:color w:val="2C3338"/>
                <w:sz w:val="16"/>
              </w:rPr>
              <w:t>Integrity and health evidence</w:t>
            </w:r>
          </w:p>
        </w:tc>
        <w:tc>
          <w:tcPr>
            <w:tcW w:type="dxa" w:w="6985"/>
            <w:tcMar>
              <w:top w:w="80" w:type="dxa"/>
              <w:start w:w="85" w:type="dxa"/>
              <w:bottom w:w="80" w:type="dxa"/>
              <w:end w:w="85" w:type="dxa"/>
            </w:tcMar>
          </w:tcPr>
          <w:p>
            <w:pPr>
              <w:spacing w:before="0" w:after="0" w:line="264" w:lineRule="auto"/>
            </w:pPr>
            <w:r>
              <w:rPr>
                <w:rFonts w:ascii="Calibri" w:hAnsi="Calibri"/>
                <w:b w:val="0"/>
                <w:i w:val="0"/>
                <w:color w:val="4B4F58"/>
                <w:sz w:val="16"/>
              </w:rPr>
              <w:t>Location provenance fields, feed-liveness thresholds and suppression of derived alerts on untrusted data, so your data-quality assumptions can be tested rather than assumed.</w:t>
            </w:r>
          </w:p>
        </w:tc>
      </w:tr>
      <w:tr>
        <w:tc>
          <w:tcPr>
            <w:tcW w:type="dxa" w:w="2993"/>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Security and access artefacts</w:t>
            </w:r>
          </w:p>
        </w:tc>
        <w:tc>
          <w:tcPr>
            <w:tcW w:type="dxa" w:w="6985"/>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Per-client broker credentials with least-privilege permissions, credential rotation before go-live, environment isolation and health-gated releases, with the sub-processor register supplied.</w:t>
            </w:r>
          </w:p>
        </w:tc>
      </w:tr>
    </w:tbl>
    <w:p>
      <w:pPr>
        <w:spacing w:before="0" w:after="100" w:line="240" w:lineRule="auto"/>
      </w:pPr>
    </w:p>
    <w:tbl>
      <w:tblPr>
        <w:tblW w:type="auto" w:w="0"/>
        <w:tblBorders>
          <w:top w:val="single" w:sz="6" w:space="0" w:color="DCE3EA"/>
          <w:left w:val="single" w:sz="6" w:space="0" w:color="DCE3EA"/>
          <w:bottom w:val="single" w:sz="6" w:space="0" w:color="DCE3EA"/>
          <w:right w:val="single" w:sz="6" w:space="0" w:color="DCE3EA"/>
        </w:tblBorders>
        <w:tblLayout w:type="fixed"/>
        <w:tblLook w:firstColumn="1" w:firstRow="1" w:lastColumn="0" w:lastRow="0" w:noHBand="0" w:noVBand="1" w:val="04A0"/>
      </w:tblPr>
      <w:tblGrid>
        <w:gridCol w:w="9978"/>
      </w:tblGrid>
      <w:tr>
        <w:tc>
          <w:tcPr>
            <w:tcW w:type="dxa" w:w="9978"/>
            <w:shd w:val="clear" w:color="auto" w:fill="F4F7FA"/>
            <w:tcMar>
              <w:top w:w="130" w:type="dxa"/>
              <w:start w:w="160" w:type="dxa"/>
              <w:bottom w:w="130" w:type="dxa"/>
              <w:end w:w="160" w:type="dxa"/>
            </w:tcMar>
          </w:tcPr>
          <w:p>
            <w:pPr>
              <w:spacing w:before="0" w:after="60" w:line="264" w:lineRule="auto"/>
            </w:pPr>
            <w:r>
              <w:rPr>
                <w:rFonts w:ascii="Calibri" w:hAnsi="Calibri"/>
                <w:b/>
                <w:i w:val="0"/>
                <w:color w:val="03273F"/>
                <w:sz w:val="20"/>
              </w:rPr>
              <w:t>Where we draw the line — scope and limits, stated openly</w:t>
            </w:r>
          </w:p>
          <w:p>
            <w:pPr>
              <w:spacing w:before="0" w:after="60" w:line="283" w:lineRule="auto"/>
            </w:pPr>
            <w:r>
              <w:rPr>
                <w:rFonts w:ascii="Calibri" w:hAnsi="Calibri"/>
                <w:b w:val="0"/>
                <w:i w:val="0"/>
                <w:color w:val="2C3338"/>
                <w:sz w:val="18"/>
              </w:rPr>
              <w:t>Welfare signals are commissioned per fleet. Detection runs on the camera in the vehicle, and classification, deduplication, storage and acknowledgement are built and in service; thresholds were calibrated by replaying real service history. The acceptance test — covering vibration, braking, HVAC noise, changing light, cellular gaps and false-alarm rate — is carried out on the controller’s own vehicles before the signals go live to a control room, and the camera holds no vehicle-specific certification for this application.</w:t>
            </w:r>
          </w:p>
          <w:p>
            <w:pPr>
              <w:spacing w:before="0" w:after="60" w:line="283" w:lineRule="auto"/>
            </w:pPr>
            <w:r>
              <w:rPr>
                <w:rFonts w:ascii="Calibri" w:hAnsi="Calibri"/>
                <w:b w:val="0"/>
                <w:i w:val="0"/>
                <w:color w:val="2C3338"/>
                <w:sz w:val="18"/>
              </w:rPr>
              <w:t>The dwell signal is currently a proxy based on a no-alighting window, not per-passenger dwell time. Native sensor dwell fields require validation before any direct dwell claim is made.</w:t>
            </w:r>
          </w:p>
          <w:p>
            <w:pPr>
              <w:spacing w:before="0" w:after="60" w:line="283" w:lineRule="auto"/>
            </w:pPr>
            <w:r>
              <w:rPr>
                <w:rFonts w:ascii="Calibri" w:hAnsi="Calibri"/>
                <w:b w:val="0"/>
                <w:i w:val="0"/>
                <w:color w:val="2C3338"/>
                <w:sz w:val="18"/>
              </w:rPr>
              <w:t>Per-user authentication with role-based administration and login auditing is a roadmap item. Dashboard access today uses a shared credential, which is why credential rotation and hardening are treated as pre-deployment work in Step 6 and why R4 in the risk register is scored as it is.</w:t>
            </w:r>
          </w:p>
          <w:p>
            <w:pPr>
              <w:spacing w:before="0" w:after="60" w:line="283" w:lineRule="auto"/>
            </w:pPr>
            <w:r>
              <w:rPr>
                <w:rFonts w:ascii="Calibri" w:hAnsi="Calibri"/>
                <w:b w:val="0"/>
                <w:i w:val="0"/>
                <w:color w:val="2C3338"/>
                <w:sz w:val="18"/>
              </w:rPr>
              <w:t>We claim no certification without a current, scoped audit certificate in our legal entity’s name. Where a tender requires certification we will say plainly whether we hold it.</w:t>
            </w:r>
          </w:p>
        </w:tc>
      </w:tr>
    </w:tbl>
    <w:p>
      <w:pPr>
        <w:spacing w:before="0" w:after="80" w:line="240" w:lineRule="auto"/>
      </w:pPr>
    </w:p>
    <w:p>
      <w:pPr>
        <w:keepNext/>
        <w:spacing w:before="180" w:after="60" w:line="264" w:lineRule="auto"/>
      </w:pPr>
      <w:r>
        <w:rPr>
          <w:rFonts w:ascii="Calibri" w:hAnsi="Calibri"/>
          <w:b/>
          <w:i w:val="0"/>
          <w:color w:val="03273F"/>
          <w:sz w:val="24"/>
        </w:rPr>
        <w:t>Reference deployment</w:t>
      </w:r>
    </w:p>
    <w:p>
      <w:pPr>
        <w:spacing w:before="0" w:after="100" w:line="283" w:lineRule="auto"/>
      </w:pPr>
      <w:r>
        <w:rPr>
          <w:rFonts w:ascii="Calibri" w:hAnsi="Calibri"/>
          <w:b w:val="0"/>
          <w:i w:val="0"/>
          <w:color w:val="4B4F58"/>
          <w:sz w:val="19"/>
        </w:rPr>
        <w:t>The architecture described in this pack is in daily production service with a US healthcare-campus shuttle operation, where the counting path, sensor-health rules and location provenance fields have been exercised on a live feed. Operator identity, fleet size and route detail are kept confidential. Welfare signals were calibrated against replayed service history from that deployment and are commissioned on the controller’s vehicles as described above.</w:t>
      </w:r>
    </w:p>
    <w:p>
      <w:pPr>
        <w:keepNext/>
        <w:spacing w:before="180" w:after="60" w:line="264" w:lineRule="auto"/>
      </w:pPr>
      <w:r>
        <w:rPr>
          <w:rFonts w:ascii="Calibri" w:hAnsi="Calibri"/>
          <w:b/>
          <w:i w:val="0"/>
          <w:color w:val="03273F"/>
          <w:sz w:val="24"/>
        </w:rPr>
        <w:t>Contact</w:t>
      </w:r>
    </w:p>
    <w:tbl>
      <w:tblPr>
        <w:tblStyle w:val="TableGrid"/>
        <w:tblW w:type="auto" w:w="0"/>
        <w:tblBorders>
          <w:top w:val="single" w:sz="6" w:space="0" w:color="C9CFD6"/>
          <w:left w:val="single" w:sz="6" w:space="0" w:color="C9CFD6"/>
          <w:bottom w:val="single" w:sz="6" w:space="0" w:color="C9CFD6"/>
          <w:right w:val="single" w:sz="6" w:space="0" w:color="C9CFD6"/>
          <w:insideH w:val="single" w:sz="6" w:space="0" w:color="C9CFD6"/>
          <w:insideV w:val="single" w:sz="6" w:space="0" w:color="C9CFD6"/>
        </w:tblBorders>
        <w:tblLayout w:type="fixed"/>
        <w:tblLook w:firstColumn="1" w:firstRow="1" w:lastColumn="0" w:lastRow="0" w:noHBand="0" w:noVBand="1" w:val="04A0"/>
      </w:tblPr>
      <w:tblGrid>
        <w:gridCol w:w="2993"/>
        <w:gridCol w:w="6985"/>
      </w:tblGrid>
      <w:tr>
        <w:trPr>
          <w:tblHeader w:val="true"/>
        </w:trPr>
        <w:tc>
          <w:tcPr>
            <w:tcW w:type="dxa" w:w="2993"/>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Contact</w:t>
            </w:r>
          </w:p>
        </w:tc>
        <w:tc>
          <w:tcPr>
            <w:tcW w:type="dxa" w:w="6985"/>
            <w:shd w:val="clear" w:color="auto" w:fill="03273F"/>
            <w:tcMar>
              <w:top w:w="80" w:type="dxa"/>
              <w:start w:w="85" w:type="dxa"/>
              <w:bottom w:w="80" w:type="dxa"/>
              <w:end w:w="85" w:type="dxa"/>
            </w:tcMar>
          </w:tcPr>
          <w:p>
            <w:pPr>
              <w:spacing w:before="0" w:after="0" w:line="252" w:lineRule="auto"/>
            </w:pPr>
            <w:r>
              <w:rPr>
                <w:rFonts w:ascii="Calibri" w:hAnsi="Calibri"/>
                <w:b/>
                <w:color w:val="FFFFFF"/>
                <w:sz w:val="16"/>
              </w:rPr>
              <w:t>Detail</w:t>
            </w:r>
          </w:p>
        </w:tc>
      </w:tr>
      <w:tr>
        <w:tc>
          <w:tcPr>
            <w:tcW w:type="dxa" w:w="2993"/>
            <w:tcMar>
              <w:top w:w="80" w:type="dxa"/>
              <w:start w:w="85" w:type="dxa"/>
              <w:bottom w:w="80" w:type="dxa"/>
              <w:end w:w="85" w:type="dxa"/>
            </w:tcMar>
          </w:tcPr>
          <w:p>
            <w:pPr>
              <w:spacing w:before="0" w:after="0" w:line="264" w:lineRule="auto"/>
            </w:pPr>
            <w:r>
              <w:rPr>
                <w:rFonts w:ascii="Calibri" w:hAnsi="Calibri"/>
                <w:b/>
                <w:i w:val="0"/>
                <w:color w:val="2C3338"/>
                <w:sz w:val="16"/>
              </w:rPr>
              <w:t>Company</w:t>
            </w:r>
          </w:p>
        </w:tc>
        <w:tc>
          <w:tcPr>
            <w:tcW w:type="dxa" w:w="6985"/>
            <w:tcMar>
              <w:top w:w="80" w:type="dxa"/>
              <w:start w:w="85" w:type="dxa"/>
              <w:bottom w:w="80" w:type="dxa"/>
              <w:end w:w="85" w:type="dxa"/>
            </w:tcMar>
          </w:tcPr>
          <w:p>
            <w:pPr>
              <w:spacing w:before="0" w:after="0" w:line="264" w:lineRule="auto"/>
            </w:pPr>
            <w:r>
              <w:rPr>
                <w:rFonts w:ascii="Calibri" w:hAnsi="Calibri"/>
                <w:b w:val="0"/>
                <w:i w:val="0"/>
                <w:color w:val="4B4F58"/>
                <w:sz w:val="16"/>
              </w:rPr>
              <w:t>Smart Urban Sensing Limited</w:t>
            </w:r>
          </w:p>
        </w:tc>
      </w:tr>
      <w:tr>
        <w:tc>
          <w:tcPr>
            <w:tcW w:type="dxa" w:w="2993"/>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Registered office / studio</w:t>
            </w:r>
          </w:p>
        </w:tc>
        <w:tc>
          <w:tcPr>
            <w:tcW w:type="dxa" w:w="6985"/>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Colony, 5 Piccadilly Place, Manchester M1 3BR</w:t>
            </w:r>
          </w:p>
        </w:tc>
      </w:tr>
      <w:tr>
        <w:tc>
          <w:tcPr>
            <w:tcW w:type="dxa" w:w="2993"/>
            <w:tcMar>
              <w:top w:w="80" w:type="dxa"/>
              <w:start w:w="85" w:type="dxa"/>
              <w:bottom w:w="80" w:type="dxa"/>
              <w:end w:w="85" w:type="dxa"/>
            </w:tcMar>
          </w:tcPr>
          <w:p>
            <w:pPr>
              <w:spacing w:before="0" w:after="0" w:line="264" w:lineRule="auto"/>
            </w:pPr>
            <w:r>
              <w:rPr>
                <w:rFonts w:ascii="Calibri" w:hAnsi="Calibri"/>
                <w:b/>
                <w:i w:val="0"/>
                <w:color w:val="2C3338"/>
                <w:sz w:val="16"/>
              </w:rPr>
              <w:t>Enquiries</w:t>
            </w:r>
          </w:p>
        </w:tc>
        <w:tc>
          <w:tcPr>
            <w:tcW w:type="dxa" w:w="6985"/>
            <w:tcMar>
              <w:top w:w="80" w:type="dxa"/>
              <w:start w:w="85" w:type="dxa"/>
              <w:bottom w:w="80" w:type="dxa"/>
              <w:end w:w="85" w:type="dxa"/>
            </w:tcMar>
          </w:tcPr>
          <w:p>
            <w:pPr>
              <w:spacing w:before="0" w:after="0" w:line="264" w:lineRule="auto"/>
            </w:pPr>
            <w:r>
              <w:rPr>
                <w:rFonts w:ascii="Calibri" w:hAnsi="Calibri"/>
                <w:b w:val="0"/>
                <w:i w:val="0"/>
                <w:color w:val="4B4F58"/>
                <w:sz w:val="16"/>
              </w:rPr>
              <w:t>sales@smarturbansensing.co.uk</w:t>
            </w:r>
          </w:p>
        </w:tc>
      </w:tr>
      <w:tr>
        <w:tc>
          <w:tcPr>
            <w:tcW w:type="dxa" w:w="2993"/>
            <w:shd w:val="clear" w:color="auto" w:fill="F7F8FA"/>
            <w:tcMar>
              <w:top w:w="80" w:type="dxa"/>
              <w:start w:w="85" w:type="dxa"/>
              <w:bottom w:w="80" w:type="dxa"/>
              <w:end w:w="85" w:type="dxa"/>
            </w:tcMar>
          </w:tcPr>
          <w:p>
            <w:pPr>
              <w:spacing w:before="0" w:after="0" w:line="264" w:lineRule="auto"/>
            </w:pPr>
            <w:r>
              <w:rPr>
                <w:rFonts w:ascii="Calibri" w:hAnsi="Calibri"/>
                <w:b/>
                <w:i w:val="0"/>
                <w:color w:val="2C3338"/>
                <w:sz w:val="16"/>
              </w:rPr>
              <w:t>Ask us for</w:t>
            </w:r>
          </w:p>
        </w:tc>
        <w:tc>
          <w:tcPr>
            <w:tcW w:type="dxa" w:w="6985"/>
            <w:shd w:val="clear" w:color="auto" w:fill="F7F8FA"/>
            <w:tcMar>
              <w:top w:w="80" w:type="dxa"/>
              <w:start w:w="85" w:type="dxa"/>
              <w:bottom w:w="80" w:type="dxa"/>
              <w:end w:w="85" w:type="dxa"/>
            </w:tcMar>
          </w:tcPr>
          <w:p>
            <w:pPr>
              <w:spacing w:before="0" w:after="0" w:line="264" w:lineRule="auto"/>
            </w:pPr>
            <w:r>
              <w:rPr>
                <w:rFonts w:ascii="Calibri" w:hAnsi="Calibri"/>
                <w:b w:val="0"/>
                <w:i w:val="0"/>
                <w:color w:val="4B4F58"/>
                <w:sz w:val="16"/>
              </w:rPr>
              <w:t>Completed Annex A, data-flow documentation, retention configuration and accuracy validation plan for your fleet.</w:t>
            </w:r>
          </w:p>
        </w:tc>
      </w:tr>
      <w:tr>
        <w:tc>
          <w:tcPr>
            <w:tcW w:type="dxa" w:w="2993"/>
            <w:tcMar>
              <w:top w:w="80" w:type="dxa"/>
              <w:start w:w="85" w:type="dxa"/>
              <w:bottom w:w="80" w:type="dxa"/>
              <w:end w:w="85" w:type="dxa"/>
            </w:tcMar>
          </w:tcPr>
          <w:p>
            <w:pPr>
              <w:spacing w:before="0" w:after="0" w:line="264" w:lineRule="auto"/>
            </w:pPr>
            <w:r>
              <w:rPr>
                <w:rFonts w:ascii="Calibri" w:hAnsi="Calibri"/>
                <w:b/>
                <w:i w:val="0"/>
                <w:color w:val="2C3338"/>
                <w:sz w:val="16"/>
              </w:rPr>
              <w:t>Document</w:t>
            </w:r>
          </w:p>
        </w:tc>
        <w:tc>
          <w:tcPr>
            <w:tcW w:type="dxa" w:w="6985"/>
            <w:tcMar>
              <w:top w:w="80" w:type="dxa"/>
              <w:start w:w="85" w:type="dxa"/>
              <w:bottom w:w="80" w:type="dxa"/>
              <w:end w:w="85" w:type="dxa"/>
            </w:tcMar>
          </w:tcPr>
          <w:p>
            <w:pPr>
              <w:spacing w:before="0" w:after="0" w:line="264" w:lineRule="auto"/>
            </w:pPr>
            <w:r>
              <w:rPr>
                <w:rFonts w:ascii="Calibri" w:hAnsi="Calibri"/>
                <w:b w:val="0"/>
                <w:i w:val="0"/>
                <w:color w:val="4B4F58"/>
                <w:sz w:val="16"/>
              </w:rPr>
              <w:t>APC and Welfare Sensing DPIA Pack — Version 1.0 — September 2026</w:t>
            </w:r>
          </w:p>
        </w:tc>
      </w:tr>
    </w:tbl>
    <w:p>
      <w:pPr>
        <w:spacing w:before="0" w:after="100" w:line="240" w:lineRule="auto"/>
      </w:pPr>
    </w:p>
    <w:p>
      <w:pPr>
        <w:spacing w:before="0" w:after="0" w:line="283" w:lineRule="auto"/>
      </w:pPr>
      <w:r>
        <w:rPr>
          <w:rFonts w:ascii="Calibri" w:hAnsi="Calibri"/>
          <w:b w:val="0"/>
          <w:i/>
          <w:color w:val="4B4F58"/>
          <w:sz w:val="18"/>
        </w:rPr>
        <w:t>This document is provided for information and template use. It is not legal advice, and it does not certify compliance for any operator or authority.</w:t>
      </w:r>
    </w:p>
    <w:sectPr w:rsidR="00FC693F" w:rsidRPr="0006063C" w:rsidSect="00034616">
      <w:footerReference w:type="default" r:id="rId9"/>
      <w:pgSz w:w="11906" w:h="16838"/>
      <w:pgMar w:top="907" w:right="964" w:bottom="907" w:left="964"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Borders>
        <w:top w:val="none" w:sz="0"/>
        <w:left w:val="none" w:sz="0"/>
        <w:bottom w:val="none" w:sz="0"/>
        <w:right w:val="none" w:sz="0"/>
        <w:insideH w:val="none" w:sz="0"/>
        <w:insideV w:val="none" w:sz="0"/>
      </w:tblBorders>
      <w:tblLayout w:type="fixed"/>
      <w:tblLook w:firstColumn="1" w:firstRow="1" w:lastColumn="0" w:lastRow="0" w:noHBand="0" w:noVBand="1" w:val="04A0"/>
    </w:tblPr>
    <w:tblGrid>
      <w:gridCol w:w="3515"/>
      <w:gridCol w:w="3515"/>
      <w:gridCol w:w="2948"/>
    </w:tblGrid>
    <w:tr>
      <w:tc>
        <w:tcPr>
          <w:tcW w:type="dxa" w:w="3515"/>
          <w:tcMar>
            <w:top w:w="40" w:type="dxa"/>
            <w:start w:w="0" w:type="dxa"/>
            <w:bottom w:w="40" w:type="dxa"/>
            <w:end w:w="0" w:type="dxa"/>
          </w:tcMar>
        </w:tcPr>
        <w:p>
          <w:pPr>
            <w:spacing w:before="0" w:after="0" w:line="240" w:lineRule="auto"/>
          </w:pPr>
          <w:r>
            <w:rPr>
              <w:rFonts w:ascii="Calibri" w:hAnsi="Calibri"/>
              <w:color w:val="7A828C"/>
              <w:sz w:val="15"/>
            </w:rPr>
            <w:t>Smart Urban Sensing Limited</w:t>
          </w:r>
        </w:p>
      </w:tc>
      <w:tc>
        <w:tcPr>
          <w:tcW w:type="dxa" w:w="3515"/>
          <w:tcMar>
            <w:top w:w="40" w:type="dxa"/>
            <w:start w:w="0" w:type="dxa"/>
            <w:bottom w:w="40" w:type="dxa"/>
            <w:end w:w="0" w:type="dxa"/>
          </w:tcMar>
        </w:tcPr>
        <w:p>
          <w:pPr>
            <w:spacing w:before="0" w:after="0" w:line="240" w:lineRule="auto"/>
            <w:jc w:val="center"/>
          </w:pPr>
          <w:r>
            <w:rPr>
              <w:rFonts w:ascii="Calibri" w:hAnsi="Calibri"/>
              <w:color w:val="7A828C"/>
              <w:sz w:val="15"/>
            </w:rPr>
            <w:t>Template guidance — not legal advice</w:t>
          </w:r>
        </w:p>
      </w:tc>
      <w:tc>
        <w:tcPr>
          <w:tcW w:type="dxa" w:w="2948"/>
          <w:tcMar>
            <w:top w:w="40" w:type="dxa"/>
            <w:start w:w="0" w:type="dxa"/>
            <w:bottom w:w="40" w:type="dxa"/>
            <w:end w:w="0" w:type="dxa"/>
          </w:tcMar>
        </w:tcPr>
        <w:p>
          <w:pPr>
            <w:spacing w:before="0" w:after="0" w:line="240" w:lineRule="auto"/>
            <w:jc w:val="right"/>
          </w:pPr>
          <w:r>
            <w:rPr>
              <w:rFonts w:ascii="Calibri" w:hAnsi="Calibri"/>
              <w:color w:val="7A828C"/>
              <w:sz w:val="15"/>
            </w:rPr>
            <w:t xml:space="preserve">Page </w:t>
          </w:r>
          <w:fldSimple w:instr="PAGE">
            <w:r>
              <w:rPr>
                <w:sz w:val="15"/>
                <w:color w:val="7A828C"/>
              </w:rPr>
              <w:t>1</w:t>
            </w:r>
          </w:fldSimple>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83" w:lineRule="auto"/>
    </w:pPr>
    <w:rPr>
      <w:rFonts w:ascii="Calibri" w:hAnsi="Calibri"/>
      <w:color w:val="4B4F5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ico.org.uk/for-organisations/uk-gdpr-guidance-and-resources/accountability-and-governance/data-protection-impact-assessments-dpias/how-do-we-do-a-dpia/" TargetMode="External"/><Relationship Id="rId11" Type="http://schemas.openxmlformats.org/officeDocument/2006/relationships/hyperlink" Target="https://ico.org.uk/for-organisations/uk-gdpr-guidance-and-resources/accountability-and-governance/data-protection-impact-assessments-dpias/when-do-we-need-to-do-a-dpia/" TargetMode="External"/><Relationship Id="rId12" Type="http://schemas.openxmlformats.org/officeDocument/2006/relationships/hyperlink" Target="https://www.legislation.gov.uk/eur/2016/679/article/35" TargetMode="External"/><Relationship Id="rId13" Type="http://schemas.openxmlformats.org/officeDocument/2006/relationships/hyperlink" Target="https://ico.org.uk/for-organisations/uk-gdpr-guidance-and-resources/data-sharing/anonymisation/" TargetMode="External"/><Relationship Id="rId14" Type="http://schemas.openxmlformats.org/officeDocument/2006/relationships/hyperlink" Target="https://publish.bus-data.dft.gov.uk/guidance/operator-requirements/?section=buslocation" TargetMode="External"/><Relationship Id="rId15" Type="http://schemas.openxmlformats.org/officeDocument/2006/relationships/hyperlink" Target="https://www.vdv.de/afzs.aspx" TargetMode="External"/><Relationship Id="rId16" Type="http://schemas.openxmlformats.org/officeDocument/2006/relationships/hyperlink" Target="https://ico.org.uk/for-organisations/uk-gdpr-guidance-and-resources/lawful-basis/a-guide-to-lawful-basis/public-task/" TargetMode="External"/><Relationship Id="rId17" Type="http://schemas.openxmlformats.org/officeDocument/2006/relationships/hyperlink" Target="https://ico.org.uk/for-organisations/uk-gdpr-guidance-and-resources/lawful-basis/legitimate-interests/" TargetMode="External"/><Relationship Id="rId18" Type="http://schemas.openxmlformats.org/officeDocument/2006/relationships/hyperlink" Target="https://www.legislation.gov.uk/eur/2016/679/article/4" TargetMode="External"/><Relationship Id="rId19" Type="http://schemas.openxmlformats.org/officeDocument/2006/relationships/hyperlink" Target="https://www.legislation.gov.uk/eur/2016/679/article/9" TargetMode="External"/><Relationship Id="rId20" Type="http://schemas.openxmlformats.org/officeDocument/2006/relationships/hyperlink" Target="https://www.legislation.gov.uk/ukpga/2025/18/contents" TargetMode="External"/><Relationship Id="rId21" Type="http://schemas.openxmlformats.org/officeDocument/2006/relationships/hyperlink" Target="https://ico.org.uk/for-organisations/uk-gdpr-guidance-and-resources/accountability-and-governance/data-protection-impact-assessments-dpias/" TargetMode="External"/><Relationship Id="rId22" Type="http://schemas.openxmlformats.org/officeDocument/2006/relationships/hyperlink" Target="https://www.ncsc.gov.uk/cyberessentials/overview" TargetMode="External"/><Relationship Id="rId23" Type="http://schemas.openxmlformats.org/officeDocument/2006/relationships/hyperlink" Target="https://www.iso.org/isoiec-27001-information-security.html" TargetMode="External"/><Relationship Id="rId24" Type="http://schemas.openxmlformats.org/officeDocument/2006/relationships/hyperlink" Target="https://ico.org.uk/for-organisations/uk-gdpr-guidance-and-resources/cctv-and-video-surveillance/" TargetMode="External"/><Relationship Id="rId25" Type="http://schemas.openxmlformats.org/officeDocument/2006/relationships/hyperlink" Target="https://www.gov.uk/government/publications/update-to-surveillance-camera-code" TargetMode="External"/><Relationship Id="rId26" Type="http://schemas.openxmlformats.org/officeDocument/2006/relationships/hyperlink" Target="https://www.gov.uk/government/publications/surveillance-camera-code-of-practice" TargetMode="External"/><Relationship Id="rId27" Type="http://schemas.openxmlformats.org/officeDocument/2006/relationships/hyperlink" Target="https://www.legislation.gov.uk/ukpga/2012/9/part/2/chapter/1" TargetMode="External"/><Relationship Id="rId28" Type="http://schemas.openxmlformats.org/officeDocument/2006/relationships/hyperlink" Target="https://www.vdv.de/457-v2.1-ses.pdfx" TargetMode="External"/><Relationship Id="rId29" Type="http://schemas.openxmlformats.org/officeDocument/2006/relationships/hyperlink" Target="https://www.legislation.gov.uk/uksi/2020/749/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APC and Welfare Sensing DPIA Pack — Version 1.0 — September 2026</dc:title>
  <dc:subject>A screening and assessment template for passenger counting and on-vehicle welfare sensing</dc:subject>
  <dc:creator>Perplexity Computer</dc:creator>
  <cp:keywords/>
  <dc:description>generated by python-docx</dc:description>
  <cp:lastModifiedBy/>
  <cp:revision>1</cp:revision>
  <dcterms:created xsi:type="dcterms:W3CDTF">2013-12-23T23:15:00Z</dcterms:created>
  <dcterms:modified xsi:type="dcterms:W3CDTF">2013-12-23T23:15:00Z</dcterms:modified>
  <cp:category>Smart Urban Sensing Limited</cp:category>
</cp:coreProperties>
</file>